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9A971" w14:textId="77777777" w:rsidR="00792A5D" w:rsidRDefault="00792A5D" w:rsidP="00951225">
      <w:pPr>
        <w:rPr>
          <w:rFonts w:cstheme="minorHAnsi"/>
          <w:szCs w:val="20"/>
          <w:lang w:val="nl-NL"/>
        </w:rPr>
      </w:pPr>
    </w:p>
    <w:p w14:paraId="5567C1BC" w14:textId="77777777" w:rsidR="00951225" w:rsidRDefault="00951225" w:rsidP="00951225">
      <w:pPr>
        <w:rPr>
          <w:rFonts w:cstheme="minorHAnsi"/>
          <w:szCs w:val="20"/>
          <w:lang w:val="nl-NL"/>
        </w:rPr>
      </w:pPr>
    </w:p>
    <w:p w14:paraId="31F6FE4C" w14:textId="77777777" w:rsidR="00843DA2" w:rsidRDefault="00843DA2" w:rsidP="00951225">
      <w:pPr>
        <w:rPr>
          <w:rFonts w:cstheme="minorHAnsi"/>
          <w:szCs w:val="20"/>
          <w:lang w:val="nl-NL"/>
        </w:rPr>
      </w:pPr>
    </w:p>
    <w:p w14:paraId="1B296A8B" w14:textId="5C282AD8" w:rsidR="00951225" w:rsidRPr="0096170C" w:rsidRDefault="00230C38" w:rsidP="00951225">
      <w:pPr>
        <w:spacing w:after="120" w:line="240" w:lineRule="auto"/>
        <w:jc w:val="center"/>
        <w:rPr>
          <w:b/>
          <w:sz w:val="26"/>
          <w:szCs w:val="26"/>
        </w:rPr>
      </w:pPr>
      <w:r>
        <w:rPr>
          <w:b/>
          <w:sz w:val="26"/>
          <w:szCs w:val="26"/>
        </w:rPr>
        <w:t>Job Description</w:t>
      </w:r>
      <w:r w:rsidR="00951225">
        <w:rPr>
          <w:b/>
          <w:sz w:val="26"/>
          <w:szCs w:val="26"/>
        </w:rPr>
        <w:t xml:space="preserve"> of the Chief Executive </w:t>
      </w:r>
      <w:r w:rsidR="00951225">
        <w:rPr>
          <w:b/>
          <w:sz w:val="26"/>
          <w:szCs w:val="26"/>
        </w:rPr>
        <w:br/>
        <w:t>of the Actuarial Association of Europe (AAE)</w:t>
      </w:r>
      <w:r w:rsidR="00524B78">
        <w:rPr>
          <w:b/>
          <w:sz w:val="26"/>
          <w:szCs w:val="26"/>
        </w:rPr>
        <w:t xml:space="preserve"> – (50%-100%)</w:t>
      </w:r>
    </w:p>
    <w:p w14:paraId="1EE915E3" w14:textId="77777777" w:rsidR="00951225" w:rsidRPr="00BB28D1" w:rsidRDefault="00951225" w:rsidP="00951225">
      <w:pPr>
        <w:spacing w:line="240" w:lineRule="auto"/>
        <w:rPr>
          <w:bCs/>
          <w:sz w:val="22"/>
          <w:szCs w:val="22"/>
        </w:rPr>
      </w:pPr>
      <w:r>
        <w:rPr>
          <w:b/>
          <w:noProof/>
          <w:sz w:val="26"/>
          <w:szCs w:val="26"/>
          <w:lang w:val="en-US" w:eastAsia="en-US"/>
        </w:rPr>
        <mc:AlternateContent>
          <mc:Choice Requires="wps">
            <w:drawing>
              <wp:anchor distT="0" distB="0" distL="114300" distR="114300" simplePos="0" relativeHeight="251659264" behindDoc="0" locked="0" layoutInCell="1" allowOverlap="1" wp14:anchorId="72ACFAFE" wp14:editId="7125C5B3">
                <wp:simplePos x="0" y="0"/>
                <wp:positionH relativeFrom="column">
                  <wp:posOffset>1120139</wp:posOffset>
                </wp:positionH>
                <wp:positionV relativeFrom="paragraph">
                  <wp:posOffset>61913</wp:posOffset>
                </wp:positionV>
                <wp:extent cx="3376613" cy="0"/>
                <wp:effectExtent l="0" t="0" r="0" b="0"/>
                <wp:wrapNone/>
                <wp:docPr id="1575048371" name="Straight Connector 1"/>
                <wp:cNvGraphicFramePr/>
                <a:graphic xmlns:a="http://schemas.openxmlformats.org/drawingml/2006/main">
                  <a:graphicData uri="http://schemas.microsoft.com/office/word/2010/wordprocessingShape">
                    <wps:wsp>
                      <wps:cNvCnPr/>
                      <wps:spPr bwMode="auto">
                        <a:xfrm>
                          <a:off x="0" y="0"/>
                          <a:ext cx="3376613" cy="0"/>
                        </a:xfrm>
                        <a:prstGeom prst="line">
                          <a:avLst/>
                        </a:prstGeom>
                        <a:ln w="19050">
                          <a:solidFill>
                            <a:srgbClr val="DDC42B"/>
                          </a:solidFill>
                          <a:headEnd type="none" w="med" len="med"/>
                          <a:tailEnd type="none" w="med" len="med"/>
                        </a:ln>
                        <a:extLst>
                          <a:ext uri="{AF507438-7753-43e0-B8FC-AC1667EBCBE1}">
                            <a14:hiddenEffects xmlns:a14="http://schemas.microsoft.com/office/drawing/2010/main" xmlns="" xmlns:w="http://schemas.openxmlformats.org/wordprocessingml/2006/main" xmlns:w10="urn:schemas-microsoft-com:office:word" xmlns:v="urn:schemas-microsoft-com:vml" xmlns:o="urn:schemas-microsoft-com:office:office">
                              <a:effectLst>
                                <a:outerShdw blurRad="63500" dist="38099" dir="2700000" algn="ctr" rotWithShape="0">
                                  <a:schemeClr val="bg2">
                                    <a:alpha val="74998"/>
                                  </a:schemeClr>
                                </a:outerShdw>
                              </a:effectLst>
                            </a14:hiddenEffects>
                          </a:ext>
                        </a:extLst>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8E74A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2pt,4.9pt" to="354.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" strokecolor="#ddc42b" strokeweight="1.5pt"/>
            </w:pict>
          </mc:Fallback>
        </mc:AlternateContent>
      </w:r>
    </w:p>
    <w:p w14:paraId="4A7C3C7D" w14:textId="32321579" w:rsidR="00951225" w:rsidRPr="00951225" w:rsidRDefault="00951225" w:rsidP="00951225">
      <w:pPr>
        <w:jc w:val="center"/>
        <w:rPr>
          <w:rFonts w:cstheme="minorHAnsi"/>
          <w:szCs w:val="20"/>
        </w:rPr>
      </w:pPr>
      <w:r w:rsidRPr="00951225">
        <w:rPr>
          <w:rFonts w:cstheme="minorHAnsi"/>
          <w:szCs w:val="20"/>
        </w:rPr>
        <w:t xml:space="preserve">(the “AAE”; officially: Verein </w:t>
      </w:r>
      <w:proofErr w:type="spellStart"/>
      <w:r w:rsidRPr="00951225">
        <w:rPr>
          <w:rFonts w:cstheme="minorHAnsi"/>
          <w:szCs w:val="20"/>
        </w:rPr>
        <w:t>Beratende</w:t>
      </w:r>
      <w:proofErr w:type="spellEnd"/>
      <w:r w:rsidRPr="00951225">
        <w:rPr>
          <w:rFonts w:cstheme="minorHAnsi"/>
          <w:szCs w:val="20"/>
        </w:rPr>
        <w:t xml:space="preserve"> </w:t>
      </w:r>
      <w:proofErr w:type="spellStart"/>
      <w:r w:rsidRPr="00951225">
        <w:rPr>
          <w:rFonts w:cstheme="minorHAnsi"/>
          <w:szCs w:val="20"/>
        </w:rPr>
        <w:t>Europäische</w:t>
      </w:r>
      <w:proofErr w:type="spellEnd"/>
      <w:r w:rsidRPr="00951225">
        <w:rPr>
          <w:rFonts w:cstheme="minorHAnsi"/>
          <w:szCs w:val="20"/>
        </w:rPr>
        <w:t xml:space="preserve"> </w:t>
      </w:r>
      <w:proofErr w:type="spellStart"/>
      <w:r w:rsidRPr="00951225">
        <w:rPr>
          <w:rFonts w:cstheme="minorHAnsi"/>
          <w:szCs w:val="20"/>
        </w:rPr>
        <w:t>Aktuarsgruppe</w:t>
      </w:r>
      <w:proofErr w:type="spellEnd"/>
      <w:r w:rsidRPr="00951225">
        <w:rPr>
          <w:rFonts w:cstheme="minorHAnsi"/>
          <w:szCs w:val="20"/>
        </w:rPr>
        <w:t xml:space="preserve">, </w:t>
      </w:r>
      <w:r w:rsidRPr="00951225">
        <w:rPr>
          <w:rFonts w:cstheme="minorHAnsi"/>
          <w:szCs w:val="20"/>
        </w:rPr>
        <w:br/>
        <w:t>registered in Switzerland and with operations office in Brussels)</w:t>
      </w:r>
    </w:p>
    <w:p w14:paraId="4C5871E3" w14:textId="77777777" w:rsidR="00433F20" w:rsidRDefault="00951225" w:rsidP="00433F20">
      <w:pPr>
        <w:spacing w:before="120" w:line="280" w:lineRule="exact"/>
        <w:jc w:val="both"/>
        <w:rPr>
          <w:rFonts w:cstheme="minorHAnsi"/>
          <w:szCs w:val="20"/>
        </w:rPr>
      </w:pPr>
      <w:commentRangeStart w:id="0"/>
      <w:r w:rsidRPr="00951225">
        <w:rPr>
          <w:rFonts w:cstheme="minorHAnsi"/>
          <w:b/>
          <w:szCs w:val="20"/>
          <w:u w:val="single"/>
        </w:rPr>
        <w:t>The roles of the Chief Executive are</w:t>
      </w:r>
      <w:r w:rsidR="00FF51DC">
        <w:rPr>
          <w:rFonts w:cstheme="minorHAnsi"/>
          <w:b/>
          <w:szCs w:val="20"/>
          <w:u w:val="single"/>
        </w:rPr>
        <w:t>,</w:t>
      </w:r>
      <w:r w:rsidR="00FF51DC" w:rsidRPr="00433F20">
        <w:rPr>
          <w:rFonts w:cstheme="minorHAnsi"/>
          <w:szCs w:val="20"/>
        </w:rPr>
        <w:t xml:space="preserve"> un</w:t>
      </w:r>
      <w:r w:rsidR="00FF51DC">
        <w:rPr>
          <w:rFonts w:cstheme="minorHAnsi"/>
          <w:szCs w:val="20"/>
        </w:rPr>
        <w:t>der the supervision of the AAE chairperson</w:t>
      </w:r>
      <w:r w:rsidR="00433F20">
        <w:rPr>
          <w:rFonts w:cstheme="minorHAnsi"/>
          <w:szCs w:val="20"/>
        </w:rPr>
        <w:t>:</w:t>
      </w:r>
      <w:commentRangeEnd w:id="0"/>
      <w:r w:rsidR="00433F20">
        <w:rPr>
          <w:rStyle w:val="CommentReference"/>
        </w:rPr>
        <w:commentReference w:id="0"/>
      </w:r>
    </w:p>
    <w:p w14:paraId="057F8048" w14:textId="4369951F" w:rsidR="00E81028" w:rsidRPr="00951225" w:rsidRDefault="00433F20" w:rsidP="00433F20">
      <w:pPr>
        <w:numPr>
          <w:ilvl w:val="0"/>
          <w:numId w:val="6"/>
        </w:numPr>
        <w:spacing w:before="120" w:line="280" w:lineRule="exact"/>
        <w:jc w:val="both"/>
        <w:rPr>
          <w:rFonts w:cstheme="minorHAnsi"/>
          <w:szCs w:val="20"/>
        </w:rPr>
      </w:pPr>
      <w:r>
        <w:rPr>
          <w:rFonts w:cstheme="minorHAnsi"/>
          <w:szCs w:val="20"/>
        </w:rPr>
        <w:t>T</w:t>
      </w:r>
      <w:r w:rsidR="00E81028" w:rsidRPr="00951225">
        <w:rPr>
          <w:rFonts w:cstheme="minorHAnsi"/>
          <w:szCs w:val="20"/>
        </w:rPr>
        <w:t>o expand the public affairs profile of the AAE by building and maintaining relationships with external stakeholders of the AAE (including the European Commission and Parliament, industry</w:t>
      </w:r>
      <w:r w:rsidR="00F01585">
        <w:rPr>
          <w:rFonts w:cstheme="minorHAnsi"/>
          <w:szCs w:val="20"/>
        </w:rPr>
        <w:t xml:space="preserve"> bodies</w:t>
      </w:r>
      <w:r w:rsidR="00E81028" w:rsidRPr="00951225">
        <w:rPr>
          <w:rFonts w:cstheme="minorHAnsi"/>
          <w:szCs w:val="20"/>
        </w:rPr>
        <w:t>); organize and attend meetings between such stakeholders and the AAE and take appropriate follow-up action</w:t>
      </w:r>
      <w:r w:rsidR="005E3425">
        <w:rPr>
          <w:rFonts w:cstheme="minorHAnsi"/>
          <w:szCs w:val="20"/>
        </w:rPr>
        <w:t>s</w:t>
      </w:r>
      <w:r w:rsidR="008C1CF4">
        <w:rPr>
          <w:rFonts w:cstheme="minorHAnsi"/>
          <w:szCs w:val="20"/>
        </w:rPr>
        <w:t>.</w:t>
      </w:r>
    </w:p>
    <w:p w14:paraId="35A3CF8D" w14:textId="75CD27C5" w:rsidR="00B45F88" w:rsidRPr="00E2094C" w:rsidRDefault="00433F20" w:rsidP="00E2094C">
      <w:pPr>
        <w:numPr>
          <w:ilvl w:val="0"/>
          <w:numId w:val="6"/>
        </w:numPr>
        <w:spacing w:before="120" w:line="280" w:lineRule="exact"/>
        <w:jc w:val="both"/>
        <w:rPr>
          <w:rFonts w:cstheme="minorHAnsi"/>
          <w:szCs w:val="20"/>
        </w:rPr>
      </w:pPr>
      <w:r>
        <w:rPr>
          <w:rFonts w:cstheme="minorHAnsi"/>
          <w:szCs w:val="20"/>
        </w:rPr>
        <w:t>T</w:t>
      </w:r>
      <w:r w:rsidR="00B45F88" w:rsidRPr="00E2094C">
        <w:rPr>
          <w:rFonts w:cstheme="minorHAnsi"/>
          <w:szCs w:val="20"/>
        </w:rPr>
        <w:t xml:space="preserve">o </w:t>
      </w:r>
      <w:r w:rsidR="00FF51DC">
        <w:rPr>
          <w:rFonts w:cstheme="minorHAnsi"/>
          <w:szCs w:val="20"/>
        </w:rPr>
        <w:t xml:space="preserve">support the AAE board to </w:t>
      </w:r>
      <w:r w:rsidR="00521A20" w:rsidRPr="00E2094C">
        <w:rPr>
          <w:rFonts w:cstheme="minorHAnsi"/>
          <w:szCs w:val="20"/>
        </w:rPr>
        <w:t xml:space="preserve">define the </w:t>
      </w:r>
      <w:r w:rsidR="00E2094C" w:rsidRPr="00E2094C">
        <w:rPr>
          <w:rFonts w:cstheme="minorHAnsi"/>
          <w:szCs w:val="20"/>
        </w:rPr>
        <w:t>long-term</w:t>
      </w:r>
      <w:r w:rsidR="00521A20" w:rsidRPr="00E2094C">
        <w:rPr>
          <w:rFonts w:cstheme="minorHAnsi"/>
          <w:szCs w:val="20"/>
        </w:rPr>
        <w:t xml:space="preserve"> vision</w:t>
      </w:r>
      <w:r w:rsidR="00167E1F" w:rsidRPr="00E2094C">
        <w:rPr>
          <w:rFonts w:cstheme="minorHAnsi"/>
          <w:szCs w:val="20"/>
        </w:rPr>
        <w:t xml:space="preserve"> (long term), the strategic plan (3 to 5 years)</w:t>
      </w:r>
      <w:r w:rsidR="00B45F88" w:rsidRPr="00E2094C">
        <w:rPr>
          <w:rFonts w:cstheme="minorHAnsi"/>
          <w:szCs w:val="20"/>
        </w:rPr>
        <w:t xml:space="preserve"> </w:t>
      </w:r>
      <w:r w:rsidR="00167E1F" w:rsidRPr="00E2094C">
        <w:rPr>
          <w:rFonts w:cstheme="minorHAnsi"/>
          <w:szCs w:val="20"/>
        </w:rPr>
        <w:t>and the business plan (</w:t>
      </w:r>
      <w:r w:rsidR="00765B64" w:rsidRPr="00E2094C">
        <w:rPr>
          <w:rFonts w:cstheme="minorHAnsi"/>
          <w:szCs w:val="20"/>
        </w:rPr>
        <w:t>short term</w:t>
      </w:r>
      <w:r w:rsidR="00167E1F" w:rsidRPr="00E2094C">
        <w:rPr>
          <w:rFonts w:cstheme="minorHAnsi"/>
          <w:szCs w:val="20"/>
        </w:rPr>
        <w:t>)</w:t>
      </w:r>
      <w:r w:rsidR="00765B64" w:rsidRPr="00E2094C">
        <w:rPr>
          <w:rFonts w:cstheme="minorHAnsi"/>
          <w:szCs w:val="20"/>
        </w:rPr>
        <w:t xml:space="preserve"> </w:t>
      </w:r>
      <w:r w:rsidR="00B45F88" w:rsidRPr="00E2094C">
        <w:rPr>
          <w:rFonts w:cstheme="minorHAnsi"/>
          <w:szCs w:val="20"/>
        </w:rPr>
        <w:t>of the AAE</w:t>
      </w:r>
      <w:r w:rsidR="008C1CF4">
        <w:rPr>
          <w:rFonts w:cstheme="minorHAnsi"/>
          <w:szCs w:val="20"/>
        </w:rPr>
        <w:t>.</w:t>
      </w:r>
    </w:p>
    <w:p w14:paraId="0F705E0E" w14:textId="496BF278" w:rsidR="0023609E" w:rsidRDefault="007C310D" w:rsidP="0023609E">
      <w:pPr>
        <w:numPr>
          <w:ilvl w:val="0"/>
          <w:numId w:val="6"/>
        </w:numPr>
        <w:spacing w:before="120" w:line="280" w:lineRule="exact"/>
        <w:jc w:val="both"/>
        <w:rPr>
          <w:rFonts w:cstheme="minorHAnsi"/>
          <w:szCs w:val="20"/>
        </w:rPr>
      </w:pPr>
      <w:r w:rsidRPr="00E2094C">
        <w:rPr>
          <w:rFonts w:cstheme="minorHAnsi"/>
          <w:szCs w:val="20"/>
        </w:rPr>
        <w:t xml:space="preserve">To </w:t>
      </w:r>
      <w:r w:rsidR="00765B64" w:rsidRPr="00E2094C">
        <w:rPr>
          <w:rFonts w:cstheme="minorHAnsi"/>
          <w:szCs w:val="20"/>
        </w:rPr>
        <w:t>execute the strategic</w:t>
      </w:r>
      <w:r w:rsidRPr="00E2094C">
        <w:rPr>
          <w:rFonts w:cstheme="minorHAnsi"/>
          <w:szCs w:val="20"/>
        </w:rPr>
        <w:t xml:space="preserve"> and business plan</w:t>
      </w:r>
      <w:r w:rsidR="0023609E" w:rsidRPr="0023609E">
        <w:rPr>
          <w:rFonts w:cstheme="minorHAnsi"/>
          <w:szCs w:val="20"/>
        </w:rPr>
        <w:t xml:space="preserve"> </w:t>
      </w:r>
      <w:r w:rsidR="0023609E">
        <w:rPr>
          <w:rFonts w:cstheme="minorHAnsi"/>
          <w:szCs w:val="20"/>
        </w:rPr>
        <w:t>with AAE internal stakeholders</w:t>
      </w:r>
      <w:r w:rsidR="00EC1D81">
        <w:rPr>
          <w:rFonts w:cstheme="minorHAnsi"/>
          <w:szCs w:val="20"/>
        </w:rPr>
        <w:t xml:space="preserve"> (e.g. Committees and/or working groups)</w:t>
      </w:r>
      <w:r w:rsidR="00A41B8F">
        <w:rPr>
          <w:rFonts w:cstheme="minorHAnsi"/>
          <w:szCs w:val="20"/>
        </w:rPr>
        <w:t>.</w:t>
      </w:r>
    </w:p>
    <w:p w14:paraId="5B00E024" w14:textId="22D58C01" w:rsidR="00EC1D81" w:rsidRDefault="00EC1D81" w:rsidP="00EC1D81">
      <w:pPr>
        <w:numPr>
          <w:ilvl w:val="0"/>
          <w:numId w:val="6"/>
        </w:numPr>
        <w:spacing w:before="120" w:line="280" w:lineRule="exact"/>
        <w:jc w:val="both"/>
        <w:rPr>
          <w:rFonts w:cstheme="minorHAnsi"/>
          <w:szCs w:val="20"/>
        </w:rPr>
      </w:pPr>
      <w:r w:rsidRPr="0023609E">
        <w:rPr>
          <w:rFonts w:cstheme="minorHAnsi"/>
          <w:szCs w:val="20"/>
        </w:rPr>
        <w:t>To report back on the advancement and execution of the long term, strategic and business</w:t>
      </w:r>
      <w:r>
        <w:rPr>
          <w:rFonts w:cstheme="minorHAnsi"/>
          <w:szCs w:val="20"/>
        </w:rPr>
        <w:t xml:space="preserve"> </w:t>
      </w:r>
      <w:r w:rsidRPr="000E3741">
        <w:rPr>
          <w:rFonts w:cstheme="minorHAnsi"/>
          <w:szCs w:val="20"/>
        </w:rPr>
        <w:t>plans</w:t>
      </w:r>
      <w:r w:rsidR="00FF51DC">
        <w:rPr>
          <w:rFonts w:cstheme="minorHAnsi"/>
          <w:szCs w:val="20"/>
        </w:rPr>
        <w:t xml:space="preserve"> to the AAE board</w:t>
      </w:r>
      <w:r w:rsidR="00A41B8F">
        <w:rPr>
          <w:rFonts w:cstheme="minorHAnsi"/>
          <w:szCs w:val="20"/>
        </w:rPr>
        <w:t>.</w:t>
      </w:r>
    </w:p>
    <w:p w14:paraId="1658AD8F" w14:textId="768374A7" w:rsidR="002975E8" w:rsidRPr="00C161A1" w:rsidRDefault="002975E8" w:rsidP="002975E8">
      <w:pPr>
        <w:numPr>
          <w:ilvl w:val="0"/>
          <w:numId w:val="6"/>
        </w:numPr>
        <w:spacing w:before="120" w:line="280" w:lineRule="exact"/>
        <w:jc w:val="both"/>
        <w:rPr>
          <w:rFonts w:cstheme="minorHAnsi"/>
          <w:szCs w:val="20"/>
        </w:rPr>
      </w:pPr>
      <w:r w:rsidRPr="00C161A1">
        <w:rPr>
          <w:rFonts w:cstheme="minorHAnsi"/>
          <w:szCs w:val="20"/>
        </w:rPr>
        <w:t xml:space="preserve">To </w:t>
      </w:r>
      <w:r w:rsidR="00433F20">
        <w:rPr>
          <w:rFonts w:cstheme="minorHAnsi"/>
          <w:szCs w:val="20"/>
        </w:rPr>
        <w:t xml:space="preserve">develop and validate a proposal for the </w:t>
      </w:r>
      <w:r w:rsidR="00433F20" w:rsidRPr="00C161A1">
        <w:rPr>
          <w:rFonts w:cstheme="minorHAnsi"/>
          <w:szCs w:val="20"/>
        </w:rPr>
        <w:t xml:space="preserve">AAE's target operation </w:t>
      </w:r>
      <w:r w:rsidRPr="00C161A1">
        <w:rPr>
          <w:rFonts w:cstheme="minorHAnsi"/>
          <w:szCs w:val="20"/>
        </w:rPr>
        <w:t>implementation striving for more efficiency and effectiveness.</w:t>
      </w:r>
    </w:p>
    <w:p w14:paraId="3F6AF340" w14:textId="77777777" w:rsidR="002975E8" w:rsidRDefault="002975E8" w:rsidP="002975E8">
      <w:pPr>
        <w:numPr>
          <w:ilvl w:val="0"/>
          <w:numId w:val="6"/>
        </w:numPr>
        <w:spacing w:before="120" w:line="280" w:lineRule="exact"/>
        <w:jc w:val="both"/>
        <w:rPr>
          <w:rFonts w:cstheme="minorHAnsi"/>
          <w:szCs w:val="20"/>
        </w:rPr>
      </w:pPr>
      <w:r>
        <w:rPr>
          <w:rFonts w:cstheme="minorHAnsi"/>
          <w:szCs w:val="20"/>
        </w:rPr>
        <w:t>T</w:t>
      </w:r>
      <w:r w:rsidRPr="00951225">
        <w:rPr>
          <w:rFonts w:cstheme="minorHAnsi"/>
          <w:szCs w:val="20"/>
        </w:rPr>
        <w:t>o work with the Member Associations of the AAE and with other associations that wish to develop links with the AAE, and to enhance communication with them</w:t>
      </w:r>
      <w:r>
        <w:rPr>
          <w:rFonts w:cstheme="minorHAnsi"/>
          <w:szCs w:val="20"/>
        </w:rPr>
        <w:t xml:space="preserve"> in collaboration with the AAE Board liaison.</w:t>
      </w:r>
    </w:p>
    <w:p w14:paraId="78BBA8AA" w14:textId="10461F01" w:rsidR="0023609E" w:rsidRDefault="0023609E" w:rsidP="0023609E">
      <w:pPr>
        <w:numPr>
          <w:ilvl w:val="0"/>
          <w:numId w:val="6"/>
        </w:numPr>
        <w:spacing w:before="120" w:line="280" w:lineRule="exact"/>
        <w:jc w:val="both"/>
        <w:rPr>
          <w:rFonts w:cstheme="minorHAnsi"/>
          <w:szCs w:val="20"/>
        </w:rPr>
      </w:pPr>
      <w:r>
        <w:rPr>
          <w:rFonts w:cstheme="minorHAnsi"/>
          <w:szCs w:val="20"/>
        </w:rPr>
        <w:t xml:space="preserve">To supervise the </w:t>
      </w:r>
      <w:r w:rsidR="000E3741">
        <w:rPr>
          <w:rFonts w:cstheme="minorHAnsi"/>
          <w:szCs w:val="20"/>
        </w:rPr>
        <w:t xml:space="preserve">sound </w:t>
      </w:r>
      <w:r>
        <w:rPr>
          <w:rFonts w:cstheme="minorHAnsi"/>
          <w:szCs w:val="20"/>
        </w:rPr>
        <w:t>governance of the AAE, the activities of the Committees and bodies appointed by the Board</w:t>
      </w:r>
      <w:r w:rsidR="00A41B8F">
        <w:rPr>
          <w:rFonts w:cstheme="minorHAnsi"/>
          <w:szCs w:val="20"/>
        </w:rPr>
        <w:t>.</w:t>
      </w:r>
    </w:p>
    <w:p w14:paraId="4FDFF480" w14:textId="15921E67" w:rsidR="00CB5F1D" w:rsidRPr="00951225" w:rsidRDefault="005E3425" w:rsidP="00CB5F1D">
      <w:pPr>
        <w:numPr>
          <w:ilvl w:val="0"/>
          <w:numId w:val="6"/>
        </w:numPr>
        <w:spacing w:before="120" w:line="280" w:lineRule="exact"/>
        <w:jc w:val="both"/>
        <w:rPr>
          <w:rFonts w:cstheme="minorHAnsi"/>
          <w:szCs w:val="20"/>
        </w:rPr>
      </w:pPr>
      <w:r>
        <w:rPr>
          <w:rFonts w:cstheme="minorHAnsi"/>
          <w:szCs w:val="20"/>
        </w:rPr>
        <w:t>I</w:t>
      </w:r>
      <w:r w:rsidR="00CB5F1D" w:rsidRPr="00951225">
        <w:rPr>
          <w:rFonts w:cstheme="minorHAnsi"/>
          <w:szCs w:val="20"/>
        </w:rPr>
        <w:t>n cooperation with the Board</w:t>
      </w:r>
      <w:r>
        <w:rPr>
          <w:rFonts w:cstheme="minorHAnsi"/>
          <w:szCs w:val="20"/>
        </w:rPr>
        <w:t xml:space="preserve"> of the AAE</w:t>
      </w:r>
      <w:r w:rsidR="00FF51DC">
        <w:rPr>
          <w:rFonts w:cstheme="minorHAnsi"/>
          <w:szCs w:val="20"/>
        </w:rPr>
        <w:t xml:space="preserve">, </w:t>
      </w:r>
      <w:r w:rsidR="00B74940">
        <w:rPr>
          <w:rFonts w:cstheme="minorHAnsi"/>
          <w:szCs w:val="20"/>
        </w:rPr>
        <w:t>and</w:t>
      </w:r>
      <w:r w:rsidR="006C6C67">
        <w:rPr>
          <w:rFonts w:cstheme="minorHAnsi"/>
          <w:szCs w:val="20"/>
        </w:rPr>
        <w:t xml:space="preserve"> </w:t>
      </w:r>
      <w:r w:rsidR="00CB5F1D">
        <w:rPr>
          <w:rFonts w:cstheme="minorHAnsi"/>
          <w:szCs w:val="20"/>
        </w:rPr>
        <w:t>Steering Committee</w:t>
      </w:r>
      <w:r w:rsidR="00687DE3">
        <w:rPr>
          <w:rFonts w:cstheme="minorHAnsi"/>
          <w:szCs w:val="20"/>
        </w:rPr>
        <w:t>s of the European Congress of Actuaries</w:t>
      </w:r>
      <w:r w:rsidR="00CB5F1D">
        <w:rPr>
          <w:rFonts w:cstheme="minorHAnsi"/>
          <w:szCs w:val="20"/>
        </w:rPr>
        <w:t xml:space="preserve"> and other bodies – when relevant </w:t>
      </w:r>
      <w:r w:rsidR="00FF51DC">
        <w:rPr>
          <w:rFonts w:cstheme="minorHAnsi"/>
          <w:szCs w:val="20"/>
        </w:rPr>
        <w:t>–</w:t>
      </w:r>
      <w:r w:rsidR="00CB5F1D" w:rsidRPr="00951225">
        <w:rPr>
          <w:rFonts w:cstheme="minorHAnsi"/>
          <w:szCs w:val="20"/>
        </w:rPr>
        <w:t xml:space="preserve"> </w:t>
      </w:r>
      <w:r w:rsidR="00FF51DC">
        <w:rPr>
          <w:rFonts w:cstheme="minorHAnsi"/>
          <w:szCs w:val="20"/>
        </w:rPr>
        <w:t xml:space="preserve">manage the </w:t>
      </w:r>
      <w:r w:rsidR="00CB5F1D" w:rsidRPr="00951225">
        <w:rPr>
          <w:rFonts w:cstheme="minorHAnsi"/>
          <w:szCs w:val="20"/>
        </w:rPr>
        <w:t>organiz</w:t>
      </w:r>
      <w:r w:rsidR="00FF51DC">
        <w:rPr>
          <w:rFonts w:cstheme="minorHAnsi"/>
          <w:szCs w:val="20"/>
        </w:rPr>
        <w:t>ation</w:t>
      </w:r>
      <w:r w:rsidR="00CB5F1D" w:rsidRPr="00951225">
        <w:rPr>
          <w:rFonts w:cstheme="minorHAnsi"/>
          <w:szCs w:val="20"/>
        </w:rPr>
        <w:t xml:space="preserve"> </w:t>
      </w:r>
      <w:r w:rsidR="00687DE3">
        <w:rPr>
          <w:rFonts w:cstheme="minorHAnsi"/>
          <w:szCs w:val="20"/>
        </w:rPr>
        <w:t xml:space="preserve">of </w:t>
      </w:r>
      <w:r w:rsidR="00CB5F1D" w:rsidRPr="00951225">
        <w:rPr>
          <w:rFonts w:cstheme="minorHAnsi"/>
          <w:szCs w:val="20"/>
        </w:rPr>
        <w:t xml:space="preserve">the events of the AAE </w:t>
      </w:r>
      <w:r w:rsidR="00570178">
        <w:rPr>
          <w:rFonts w:cstheme="minorHAnsi"/>
          <w:szCs w:val="20"/>
        </w:rPr>
        <w:t xml:space="preserve">(e.g. </w:t>
      </w:r>
      <w:r w:rsidR="00687DE3">
        <w:rPr>
          <w:rFonts w:cstheme="minorHAnsi"/>
          <w:szCs w:val="20"/>
        </w:rPr>
        <w:t xml:space="preserve">its </w:t>
      </w:r>
      <w:r w:rsidR="00570178">
        <w:rPr>
          <w:rFonts w:cstheme="minorHAnsi"/>
          <w:szCs w:val="20"/>
        </w:rPr>
        <w:t xml:space="preserve">General Assembly, </w:t>
      </w:r>
      <w:r w:rsidR="00687DE3">
        <w:rPr>
          <w:rFonts w:cstheme="minorHAnsi"/>
          <w:szCs w:val="20"/>
        </w:rPr>
        <w:t xml:space="preserve">its </w:t>
      </w:r>
      <w:r w:rsidR="00570178">
        <w:rPr>
          <w:rFonts w:cstheme="minorHAnsi"/>
          <w:szCs w:val="20"/>
        </w:rPr>
        <w:t xml:space="preserve">Committee </w:t>
      </w:r>
      <w:r w:rsidR="00272873">
        <w:rPr>
          <w:rFonts w:cstheme="minorHAnsi"/>
          <w:szCs w:val="20"/>
        </w:rPr>
        <w:t>Meeting</w:t>
      </w:r>
      <w:r w:rsidR="00687DE3">
        <w:rPr>
          <w:rFonts w:cstheme="minorHAnsi"/>
          <w:szCs w:val="20"/>
        </w:rPr>
        <w:t>s</w:t>
      </w:r>
      <w:r w:rsidR="00272873">
        <w:rPr>
          <w:rFonts w:cstheme="minorHAnsi"/>
          <w:szCs w:val="20"/>
        </w:rPr>
        <w:t xml:space="preserve">, </w:t>
      </w:r>
      <w:r w:rsidR="00CB5F1D" w:rsidRPr="00951225">
        <w:rPr>
          <w:rFonts w:cstheme="minorHAnsi"/>
          <w:szCs w:val="20"/>
        </w:rPr>
        <w:t>and</w:t>
      </w:r>
      <w:r w:rsidR="00687DE3">
        <w:rPr>
          <w:rFonts w:cstheme="minorHAnsi"/>
          <w:szCs w:val="20"/>
        </w:rPr>
        <w:t xml:space="preserve"> the</w:t>
      </w:r>
      <w:r w:rsidR="00CB5F1D" w:rsidRPr="00951225">
        <w:rPr>
          <w:rFonts w:cstheme="minorHAnsi"/>
          <w:szCs w:val="20"/>
        </w:rPr>
        <w:t xml:space="preserve"> European Congress of Actuaries</w:t>
      </w:r>
      <w:r w:rsidR="00272873">
        <w:rPr>
          <w:rFonts w:cstheme="minorHAnsi"/>
          <w:szCs w:val="20"/>
        </w:rPr>
        <w:t>)</w:t>
      </w:r>
      <w:r w:rsidR="00A41B8F">
        <w:rPr>
          <w:rFonts w:cstheme="minorHAnsi"/>
          <w:szCs w:val="20"/>
        </w:rPr>
        <w:t>.</w:t>
      </w:r>
    </w:p>
    <w:p w14:paraId="421B51DC" w14:textId="58E0B959" w:rsidR="00C33AE9" w:rsidRPr="008C1CF4" w:rsidRDefault="008C1CF4" w:rsidP="008C1CF4">
      <w:pPr>
        <w:numPr>
          <w:ilvl w:val="0"/>
          <w:numId w:val="6"/>
        </w:numPr>
        <w:spacing w:before="120" w:line="280" w:lineRule="exact"/>
        <w:jc w:val="both"/>
        <w:rPr>
          <w:rFonts w:cstheme="minorHAnsi"/>
          <w:szCs w:val="20"/>
        </w:rPr>
      </w:pPr>
      <w:r w:rsidRPr="008C1CF4">
        <w:rPr>
          <w:rFonts w:cstheme="minorHAnsi"/>
          <w:szCs w:val="20"/>
          <w:lang w:val="en-US"/>
        </w:rPr>
        <w:t>To</w:t>
      </w:r>
      <w:r w:rsidRPr="008C1CF4">
        <w:t xml:space="preserve"> promote effective communication, manage publications, and oversee</w:t>
      </w:r>
      <w:r w:rsidR="00CE0753">
        <w:t xml:space="preserve"> </w:t>
      </w:r>
      <w:r w:rsidRPr="008C1CF4">
        <w:t>press relations</w:t>
      </w:r>
      <w:r w:rsidR="00FF51DC">
        <w:t>, in relation with the AAE Communication Panel</w:t>
      </w:r>
    </w:p>
    <w:p w14:paraId="18C67969" w14:textId="42D62717" w:rsidR="00CB5F1D" w:rsidRPr="00951225" w:rsidRDefault="00D942AB" w:rsidP="00CB5F1D">
      <w:pPr>
        <w:numPr>
          <w:ilvl w:val="0"/>
          <w:numId w:val="6"/>
        </w:numPr>
        <w:spacing w:before="120" w:line="280" w:lineRule="exact"/>
        <w:jc w:val="both"/>
        <w:rPr>
          <w:rFonts w:cstheme="minorHAnsi"/>
          <w:szCs w:val="20"/>
        </w:rPr>
      </w:pPr>
      <w:r>
        <w:rPr>
          <w:rFonts w:cstheme="minorHAnsi"/>
          <w:szCs w:val="20"/>
        </w:rPr>
        <w:t>T</w:t>
      </w:r>
      <w:r w:rsidR="00CB5F1D" w:rsidRPr="00951225">
        <w:rPr>
          <w:rFonts w:cstheme="minorHAnsi"/>
          <w:szCs w:val="20"/>
        </w:rPr>
        <w:t>o act as line manager for the staff employed or contracted by the AAE</w:t>
      </w:r>
      <w:r w:rsidR="00FF51DC">
        <w:rPr>
          <w:rFonts w:cstheme="minorHAnsi"/>
          <w:szCs w:val="20"/>
        </w:rPr>
        <w:t xml:space="preserve"> (</w:t>
      </w:r>
      <w:commentRangeStart w:id="1"/>
      <w:r w:rsidR="00FF51DC">
        <w:rPr>
          <w:rFonts w:cstheme="minorHAnsi"/>
          <w:szCs w:val="20"/>
        </w:rPr>
        <w:t>3</w:t>
      </w:r>
      <w:commentRangeEnd w:id="1"/>
      <w:r w:rsidR="00A85962">
        <w:rPr>
          <w:rStyle w:val="CommentReference"/>
        </w:rPr>
        <w:commentReference w:id="1"/>
      </w:r>
      <w:r w:rsidR="00FF51DC">
        <w:rPr>
          <w:rFonts w:cstheme="minorHAnsi"/>
          <w:szCs w:val="20"/>
        </w:rPr>
        <w:t xml:space="preserve"> people currently, and 5 in target)</w:t>
      </w:r>
      <w:r w:rsidR="00CB5F1D" w:rsidRPr="00951225">
        <w:rPr>
          <w:rFonts w:cstheme="minorHAnsi"/>
          <w:szCs w:val="20"/>
        </w:rPr>
        <w:t>.</w:t>
      </w:r>
    </w:p>
    <w:p w14:paraId="1ABC6C35" w14:textId="77777777" w:rsidR="00B82CD5" w:rsidRDefault="00B82CD5" w:rsidP="000E3741">
      <w:pPr>
        <w:spacing w:before="120" w:line="280" w:lineRule="exact"/>
        <w:jc w:val="both"/>
        <w:rPr>
          <w:rFonts w:cstheme="minorHAnsi"/>
          <w:b/>
          <w:bCs/>
          <w:szCs w:val="20"/>
          <w:u w:val="single"/>
        </w:rPr>
      </w:pPr>
    </w:p>
    <w:p w14:paraId="65303EB1" w14:textId="2ADDD18A" w:rsidR="000E3741" w:rsidRPr="00D6329C" w:rsidRDefault="00D6329C" w:rsidP="000E3741">
      <w:pPr>
        <w:spacing w:before="120" w:line="280" w:lineRule="exact"/>
        <w:jc w:val="both"/>
        <w:rPr>
          <w:rFonts w:cstheme="minorHAnsi"/>
          <w:b/>
          <w:bCs/>
          <w:szCs w:val="20"/>
          <w:u w:val="single"/>
        </w:rPr>
      </w:pPr>
      <w:r w:rsidRPr="00D6329C">
        <w:rPr>
          <w:rFonts w:cstheme="minorHAnsi"/>
          <w:b/>
          <w:bCs/>
          <w:szCs w:val="20"/>
          <w:u w:val="single"/>
        </w:rPr>
        <w:t>Your profile:</w:t>
      </w:r>
    </w:p>
    <w:p w14:paraId="533B5CFC" w14:textId="73F241FC" w:rsidR="00D6329C" w:rsidRPr="0022691C" w:rsidRDefault="0022691C" w:rsidP="0022691C">
      <w:pPr>
        <w:jc w:val="both"/>
      </w:pPr>
      <w:r w:rsidRPr="0022691C">
        <w:t xml:space="preserve">The ideal candidate for the position of Chief Executive of the Actuarial Association of Europe (AAE) will possess a minimum of </w:t>
      </w:r>
      <w:r w:rsidR="00230C38">
        <w:t xml:space="preserve">15 </w:t>
      </w:r>
      <w:r w:rsidRPr="0022691C">
        <w:t xml:space="preserve">to </w:t>
      </w:r>
      <w:r w:rsidR="00CA742B">
        <w:t xml:space="preserve">20 </w:t>
      </w:r>
      <w:r w:rsidRPr="0022691C">
        <w:t xml:space="preserve">years of professional experience, preferably in leadership roles within </w:t>
      </w:r>
      <w:r w:rsidR="007F3812">
        <w:t xml:space="preserve">European institutions, </w:t>
      </w:r>
      <w:r w:rsidRPr="0022691C">
        <w:t xml:space="preserve">actuarial profession, financial services, or a related field. They should demonstrate a proven track record of strategic planning and execution, governance oversight, and stakeholder engagement at a senior level. Experience working with committees, boards, or similar </w:t>
      </w:r>
      <w:r w:rsidRPr="0022691C">
        <w:lastRenderedPageBreak/>
        <w:t xml:space="preserve">governance structures </w:t>
      </w:r>
      <w:proofErr w:type="gramStart"/>
      <w:r w:rsidRPr="0022691C">
        <w:t>is</w:t>
      </w:r>
      <w:proofErr w:type="gramEnd"/>
      <w:r w:rsidRPr="0022691C">
        <w:t xml:space="preserve"> essential, as is familiarity with European regulatory environments and public affairs. Strong organisational, communication, and interpersonal skills are required to effectively collaborate with the AAE Board, committees, and external partners. Prior involvement in international associations or congresses would be highly advantageous.</w:t>
      </w:r>
    </w:p>
    <w:p w14:paraId="53142CF3" w14:textId="4685400E" w:rsidR="00D6329C" w:rsidRPr="00D6329C" w:rsidRDefault="00D6329C" w:rsidP="000E3741">
      <w:pPr>
        <w:spacing w:before="120" w:line="280" w:lineRule="exact"/>
        <w:jc w:val="both"/>
        <w:rPr>
          <w:rFonts w:cstheme="minorHAnsi"/>
          <w:b/>
          <w:bCs/>
          <w:szCs w:val="20"/>
          <w:u w:val="single"/>
        </w:rPr>
      </w:pPr>
      <w:r w:rsidRPr="00D6329C">
        <w:rPr>
          <w:rFonts w:cstheme="minorHAnsi"/>
          <w:b/>
          <w:bCs/>
          <w:szCs w:val="20"/>
          <w:u w:val="single"/>
        </w:rPr>
        <w:t>About the AAE:</w:t>
      </w:r>
    </w:p>
    <w:p w14:paraId="48655345" w14:textId="77777777" w:rsidR="00A85962" w:rsidRDefault="008C3F45" w:rsidP="00D8566B">
      <w:pPr>
        <w:jc w:val="both"/>
      </w:pPr>
      <w:r w:rsidRPr="008C3F45">
        <w:t xml:space="preserve">The Actuarial Association of Europe (AAE), officially known as Verein </w:t>
      </w:r>
      <w:proofErr w:type="spellStart"/>
      <w:r w:rsidRPr="008C3F45">
        <w:t>Beratende</w:t>
      </w:r>
      <w:proofErr w:type="spellEnd"/>
      <w:r w:rsidRPr="008C3F45">
        <w:t xml:space="preserve"> </w:t>
      </w:r>
      <w:proofErr w:type="spellStart"/>
      <w:r w:rsidRPr="008C3F45">
        <w:t>Europäische</w:t>
      </w:r>
      <w:proofErr w:type="spellEnd"/>
      <w:r w:rsidRPr="008C3F45">
        <w:t xml:space="preserve"> </w:t>
      </w:r>
      <w:proofErr w:type="spellStart"/>
      <w:r w:rsidRPr="008C3F45">
        <w:t>Aktuarsgruppe</w:t>
      </w:r>
      <w:proofErr w:type="spellEnd"/>
      <w:r w:rsidRPr="008C3F45">
        <w:t xml:space="preserve">, is a professional body registered in Switzerland with its operations office located in Brussels. The AAE serves as the central organisation representing the actuarial profession across Europe, bringing together national actuarial associations to promote the highest standards of actuarial practice, education, and professional conduct. </w:t>
      </w:r>
    </w:p>
    <w:p w14:paraId="1488AD4D" w14:textId="77777777" w:rsidR="00A85962" w:rsidRDefault="00A85962" w:rsidP="00D8566B">
      <w:pPr>
        <w:jc w:val="both"/>
      </w:pPr>
    </w:p>
    <w:p w14:paraId="5445A235" w14:textId="467BFBDF" w:rsidR="00A85962" w:rsidRDefault="00C72512" w:rsidP="00D8566B">
      <w:pPr>
        <w:jc w:val="both"/>
      </w:pPr>
      <w:r>
        <w:t xml:space="preserve">The AAE </w:t>
      </w:r>
      <w:r w:rsidR="00A85962">
        <w:t>was</w:t>
      </w:r>
      <w:r w:rsidR="00A85962" w:rsidRPr="00A85962">
        <w:t xml:space="preserve"> founded in 1978 under the name of Groupe </w:t>
      </w:r>
      <w:proofErr w:type="spellStart"/>
      <w:r w:rsidR="00A85962" w:rsidRPr="00A85962">
        <w:t>Consultatif</w:t>
      </w:r>
      <w:proofErr w:type="spellEnd"/>
      <w:r w:rsidR="00A85962" w:rsidRPr="00A85962">
        <w:t xml:space="preserve"> </w:t>
      </w:r>
      <w:proofErr w:type="spellStart"/>
      <w:r w:rsidR="00A85962" w:rsidRPr="00A85962">
        <w:t>Actuariel</w:t>
      </w:r>
      <w:proofErr w:type="spellEnd"/>
      <w:r w:rsidR="00A85962" w:rsidRPr="00A85962">
        <w:t xml:space="preserve"> </w:t>
      </w:r>
      <w:proofErr w:type="spellStart"/>
      <w:r w:rsidR="00A85962" w:rsidRPr="00A85962">
        <w:t>Européen</w:t>
      </w:r>
      <w:proofErr w:type="spellEnd"/>
      <w:r w:rsidR="00A85962" w:rsidRPr="00A85962">
        <w:t xml:space="preserve">, </w:t>
      </w:r>
      <w:proofErr w:type="gramStart"/>
      <w:r w:rsidR="00A85962">
        <w:t>It</w:t>
      </w:r>
      <w:proofErr w:type="gramEnd"/>
      <w:r w:rsidR="00A85962">
        <w:t xml:space="preserve"> </w:t>
      </w:r>
      <w:r w:rsidR="00A85962" w:rsidRPr="00A85962">
        <w:t xml:space="preserve">brings together 38 professional associations of actuaries in 37 countries </w:t>
      </w:r>
      <w:r w:rsidR="00A85962">
        <w:t xml:space="preserve">including those </w:t>
      </w:r>
      <w:r w:rsidR="00A85962" w:rsidRPr="00A85962">
        <w:t>of the EU, together with the countries of the European Economic Area</w:t>
      </w:r>
      <w:r w:rsidR="00A85962">
        <w:t>, UK</w:t>
      </w:r>
      <w:r>
        <w:t xml:space="preserve">, </w:t>
      </w:r>
      <w:r w:rsidR="00A85962" w:rsidRPr="00A85962">
        <w:t>Switzerland and some EU candidate countries.</w:t>
      </w:r>
      <w:r w:rsidR="00A85962">
        <w:t xml:space="preserve"> </w:t>
      </w:r>
      <w:r>
        <w:t>Currently, a</w:t>
      </w:r>
      <w:r w:rsidR="00A85962">
        <w:t xml:space="preserve">round </w:t>
      </w:r>
      <w:r w:rsidR="00FB7414">
        <w:t>30,000</w:t>
      </w:r>
      <w:r w:rsidR="00A85962">
        <w:t xml:space="preserve"> fully qualified actuaries are members of </w:t>
      </w:r>
      <w:r>
        <w:t>the AAE’s</w:t>
      </w:r>
      <w:r w:rsidR="00A85962">
        <w:t xml:space="preserve"> member associations.</w:t>
      </w:r>
      <w:r>
        <w:t xml:space="preserve"> The AAE </w:t>
      </w:r>
      <w:r w:rsidR="00A85962" w:rsidRPr="00A85962">
        <w:t xml:space="preserve">has established and keeps </w:t>
      </w:r>
      <w:proofErr w:type="gramStart"/>
      <w:r w:rsidR="00A85962" w:rsidRPr="00A85962">
        <w:t>up-to-date</w:t>
      </w:r>
      <w:proofErr w:type="gramEnd"/>
      <w:r w:rsidR="00A85962" w:rsidRPr="00A85962">
        <w:t xml:space="preserve"> a core syllabus of education requirements, a code of conduct and discipline scheme requirements, for all its full member associations. It also develop</w:t>
      </w:r>
      <w:r w:rsidR="00A85962">
        <w:t>s</w:t>
      </w:r>
      <w:r w:rsidR="00A85962" w:rsidRPr="00A85962">
        <w:t xml:space="preserve"> model actuarial standards of practice for its member</w:t>
      </w:r>
      <w:r w:rsidR="00A85962">
        <w:t xml:space="preserve"> associations </w:t>
      </w:r>
      <w:r w:rsidR="00A85962" w:rsidRPr="00A85962">
        <w:t xml:space="preserve">to </w:t>
      </w:r>
      <w:proofErr w:type="gramStart"/>
      <w:r w:rsidR="00A85962" w:rsidRPr="00A85962">
        <w:t>use</w:t>
      </w:r>
      <w:proofErr w:type="gramEnd"/>
      <w:r w:rsidR="00A85962" w:rsidRPr="00A85962">
        <w:t xml:space="preserve"> and it oversees a mutual recognition agreement, which facilitates actuaries being able to exercise their profession in any of the countries concerned. The AAE also serves the public interest by providing advice and opinions, independent of industry interests, to the various institutions of the European Union – the Commission, The Council of Ministers, the European Parliament, ECB, EIOPA and their various committees – on actuarial issues in European legislation and regulation.</w:t>
      </w:r>
    </w:p>
    <w:p w14:paraId="37251446" w14:textId="77777777" w:rsidR="00A85962" w:rsidRDefault="00A85962" w:rsidP="00D8566B">
      <w:pPr>
        <w:jc w:val="both"/>
      </w:pPr>
    </w:p>
    <w:p w14:paraId="37AECB36" w14:textId="04817438" w:rsidR="00A85962" w:rsidRDefault="00C72512" w:rsidP="00D8566B">
      <w:pPr>
        <w:jc w:val="both"/>
      </w:pPr>
      <w:r>
        <w:t>The AAE</w:t>
      </w:r>
      <w:r w:rsidR="00A85962">
        <w:t xml:space="preserve"> has three key strategic objectives:</w:t>
      </w:r>
    </w:p>
    <w:p w14:paraId="4083C54A" w14:textId="4D9514E5" w:rsidR="00A85962" w:rsidRDefault="00A85962" w:rsidP="00A85962">
      <w:pPr>
        <w:pStyle w:val="ListParagraph"/>
        <w:numPr>
          <w:ilvl w:val="0"/>
          <w:numId w:val="8"/>
        </w:numPr>
        <w:jc w:val="both"/>
      </w:pPr>
      <w:r w:rsidRPr="00041319">
        <w:rPr>
          <w:b/>
          <w:bCs/>
        </w:rPr>
        <w:t>Strategic Objective 1: Enhance relations with European institutions</w:t>
      </w:r>
      <w:r>
        <w:t xml:space="preserve">. </w:t>
      </w:r>
      <w:r w:rsidRPr="00A85962">
        <w:t>Establish and maintain relationships with key European institutions, so that the AAE can effectively provide them with high quality professional advice to improve the soundness of decisions from an actuarial perspective.</w:t>
      </w:r>
      <w:r>
        <w:t xml:space="preserve"> expansively, including. This includes </w:t>
      </w:r>
      <w:r w:rsidR="00590EED">
        <w:t xml:space="preserve">maintaining </w:t>
      </w:r>
      <w:r w:rsidR="00590EED" w:rsidRPr="00590EED">
        <w:t>contact with other European organisations such as industry and consumer protection bodies</w:t>
      </w:r>
      <w:r w:rsidR="00C72512">
        <w:t>,</w:t>
      </w:r>
      <w:r w:rsidR="00590EED">
        <w:t xml:space="preserve"> particularly ones relating to industries </w:t>
      </w:r>
      <w:r>
        <w:t xml:space="preserve">in which actuaries </w:t>
      </w:r>
      <w:r w:rsidR="00590EED">
        <w:t xml:space="preserve">play a prominent role, such as </w:t>
      </w:r>
      <w:r>
        <w:t>insurance and pensions</w:t>
      </w:r>
      <w:r w:rsidR="00590EED">
        <w:t>.</w:t>
      </w:r>
    </w:p>
    <w:p w14:paraId="46C0BF70" w14:textId="0BB0D3C0" w:rsidR="00590EED" w:rsidRDefault="00A85962" w:rsidP="00A85962">
      <w:pPr>
        <w:pStyle w:val="ListParagraph"/>
        <w:numPr>
          <w:ilvl w:val="0"/>
          <w:numId w:val="8"/>
        </w:numPr>
        <w:jc w:val="both"/>
      </w:pPr>
      <w:r w:rsidRPr="00041319">
        <w:rPr>
          <w:b/>
          <w:bCs/>
        </w:rPr>
        <w:t>Strategic Objective 2: Promote Professionalism</w:t>
      </w:r>
      <w:r>
        <w:t xml:space="preserve">. </w:t>
      </w:r>
      <w:r w:rsidR="00590EED" w:rsidRPr="00590EED">
        <w:t>Promote consistent standards of education and professionalism among actuaries in Europe.</w:t>
      </w:r>
      <w:r w:rsidR="00590EED">
        <w:t xml:space="preserve"> This includes </w:t>
      </w:r>
      <w:r w:rsidR="00590EED" w:rsidRPr="00590EED">
        <w:t>facilitat</w:t>
      </w:r>
      <w:r w:rsidR="00C72512">
        <w:t>ing</w:t>
      </w:r>
      <w:r w:rsidR="00590EED" w:rsidRPr="00590EED">
        <w:t xml:space="preserve"> continuing professional development of actuaries</w:t>
      </w:r>
      <w:r w:rsidR="00590EED">
        <w:t xml:space="preserve"> and </w:t>
      </w:r>
      <w:r w:rsidR="00590EED" w:rsidRPr="00590EED">
        <w:t>support</w:t>
      </w:r>
      <w:r w:rsidR="00590EED">
        <w:t>ing</w:t>
      </w:r>
      <w:r w:rsidR="00590EED" w:rsidRPr="00590EED">
        <w:t xml:space="preserve"> the development and recognition of actuarial work in wider fields as actuaries extend their areas of involvement</w:t>
      </w:r>
      <w:r w:rsidR="00C72512">
        <w:t>.</w:t>
      </w:r>
    </w:p>
    <w:p w14:paraId="25D26348" w14:textId="1D7A6C5C" w:rsidR="00590EED" w:rsidRDefault="00590EED" w:rsidP="00A85962">
      <w:pPr>
        <w:pStyle w:val="ListParagraph"/>
        <w:numPr>
          <w:ilvl w:val="0"/>
          <w:numId w:val="8"/>
        </w:numPr>
        <w:jc w:val="both"/>
      </w:pPr>
      <w:r w:rsidRPr="00041319">
        <w:rPr>
          <w:b/>
          <w:bCs/>
        </w:rPr>
        <w:t>Strategic Objective 3: Promote a European community of actuaries</w:t>
      </w:r>
      <w:r>
        <w:t xml:space="preserve">. </w:t>
      </w:r>
      <w:r w:rsidRPr="00590EED">
        <w:t>Promote a European community of actuaries between AAE member associations, their members and the AAE.</w:t>
      </w:r>
      <w:r>
        <w:t xml:space="preserve"> This includes facilitating networking, exchange of information and ideas and </w:t>
      </w:r>
      <w:r w:rsidRPr="00590EED">
        <w:t>strengthen</w:t>
      </w:r>
      <w:r>
        <w:t>ing</w:t>
      </w:r>
      <w:r w:rsidRPr="00590EED">
        <w:t xml:space="preserve"> awareness among member associations and their members of the work of the AAE</w:t>
      </w:r>
      <w:r>
        <w:t xml:space="preserve">. </w:t>
      </w:r>
      <w:r w:rsidR="00687DE3">
        <w:t xml:space="preserve">The </w:t>
      </w:r>
      <w:r>
        <w:t>European Congress of Actuaries</w:t>
      </w:r>
      <w:r w:rsidR="00687DE3">
        <w:t>,</w:t>
      </w:r>
      <w:r>
        <w:t xml:space="preserve"> currently </w:t>
      </w:r>
      <w:r w:rsidR="00687DE3">
        <w:t xml:space="preserve">held </w:t>
      </w:r>
      <w:r>
        <w:t>every two years</w:t>
      </w:r>
      <w:r w:rsidR="00687DE3">
        <w:t>, is one part of delivering on this strategic objective.</w:t>
      </w:r>
    </w:p>
    <w:p w14:paraId="0B4BD4DB" w14:textId="77777777" w:rsidR="00590EED" w:rsidRDefault="00590EED" w:rsidP="00590EED">
      <w:pPr>
        <w:jc w:val="both"/>
      </w:pPr>
    </w:p>
    <w:p w14:paraId="27A5CFBA" w14:textId="7C9BD0CC" w:rsidR="008C3F45" w:rsidRDefault="00590EED" w:rsidP="00590EED">
      <w:pPr>
        <w:jc w:val="both"/>
      </w:pPr>
      <w:r>
        <w:t>The AAE is looking for its new chief executive to play an active role in achieving all three strategic objectives and in managing the staff team as they support the many volunteer</w:t>
      </w:r>
      <w:r w:rsidR="00460EBE">
        <w:t xml:space="preserve"> actuaries</w:t>
      </w:r>
      <w:r>
        <w:t xml:space="preserve"> who </w:t>
      </w:r>
      <w:r>
        <w:lastRenderedPageBreak/>
        <w:t xml:space="preserve">contribute to the work of the AAE. Further information on the AAE is available at </w:t>
      </w:r>
      <w:hyperlink r:id="rId12" w:history="1">
        <w:r w:rsidRPr="003D4469">
          <w:rPr>
            <w:rStyle w:val="Hyperlink"/>
          </w:rPr>
          <w:t>https://actuary.eu/</w:t>
        </w:r>
      </w:hyperlink>
      <w:r>
        <w:t xml:space="preserve"> including information on news and events</w:t>
      </w:r>
      <w:r w:rsidR="00460EBE">
        <w:t>, publications, history and structure</w:t>
      </w:r>
      <w:r>
        <w:t>.</w:t>
      </w:r>
    </w:p>
    <w:p w14:paraId="45F91C02" w14:textId="53672C36" w:rsidR="00FB7414" w:rsidRPr="008C3F45" w:rsidRDefault="00FB7414" w:rsidP="00590EED">
      <w:pPr>
        <w:jc w:val="both"/>
      </w:pPr>
      <w:r w:rsidRPr="00FB7414">
        <w:t>AAE staff generally work remotely. It is envisaged that the new chief executive would do so too. Depending on agreed upon responsibilities, the role could be part-time or full-time.</w:t>
      </w:r>
    </w:p>
    <w:p w14:paraId="66501639" w14:textId="77777777" w:rsidR="00CB5F1D" w:rsidRDefault="00CB5F1D" w:rsidP="00CB5F1D">
      <w:pPr>
        <w:spacing w:line="240" w:lineRule="auto"/>
        <w:rPr>
          <w:rFonts w:cstheme="minorHAnsi"/>
          <w:szCs w:val="20"/>
        </w:rPr>
      </w:pPr>
    </w:p>
    <w:p w14:paraId="1C219A9C" w14:textId="0249DA80" w:rsidR="00951225" w:rsidRPr="00951225" w:rsidRDefault="00CB5F1D" w:rsidP="00CB5F1D">
      <w:pPr>
        <w:spacing w:line="240" w:lineRule="auto"/>
        <w:rPr>
          <w:rFonts w:cstheme="minorHAnsi"/>
          <w:b/>
          <w:szCs w:val="20"/>
          <w:u w:val="single"/>
        </w:rPr>
      </w:pPr>
      <w:r w:rsidRPr="00CB5F1D">
        <w:rPr>
          <w:rFonts w:cstheme="minorHAnsi"/>
          <w:b/>
          <w:szCs w:val="20"/>
          <w:u w:val="single"/>
        </w:rPr>
        <w:t>A</w:t>
      </w:r>
      <w:r w:rsidR="00951225" w:rsidRPr="00951225">
        <w:rPr>
          <w:rFonts w:cstheme="minorHAnsi"/>
          <w:b/>
          <w:szCs w:val="20"/>
          <w:u w:val="single"/>
        </w:rPr>
        <w:t>ccountability</w:t>
      </w:r>
    </w:p>
    <w:p w14:paraId="50351FD9" w14:textId="7076BDB8" w:rsidR="00951225" w:rsidRPr="00951225" w:rsidRDefault="00776764" w:rsidP="00951225">
      <w:pPr>
        <w:spacing w:line="280" w:lineRule="exact"/>
        <w:rPr>
          <w:rFonts w:cstheme="minorHAnsi"/>
          <w:szCs w:val="20"/>
        </w:rPr>
      </w:pPr>
      <w:r>
        <w:rPr>
          <w:rFonts w:cstheme="minorHAnsi"/>
          <w:szCs w:val="20"/>
        </w:rPr>
        <w:t>T</w:t>
      </w:r>
      <w:r w:rsidR="00951225" w:rsidRPr="00951225">
        <w:rPr>
          <w:rFonts w:cstheme="minorHAnsi"/>
          <w:szCs w:val="20"/>
        </w:rPr>
        <w:t>he Chief Executive is directly accountable to the Chair</w:t>
      </w:r>
      <w:r w:rsidR="00951225">
        <w:rPr>
          <w:rFonts w:cstheme="minorHAnsi"/>
          <w:szCs w:val="20"/>
        </w:rPr>
        <w:t>person</w:t>
      </w:r>
      <w:r w:rsidR="00951225" w:rsidRPr="00951225">
        <w:rPr>
          <w:rFonts w:cstheme="minorHAnsi"/>
          <w:szCs w:val="20"/>
        </w:rPr>
        <w:t xml:space="preserve"> of the AAE.</w:t>
      </w:r>
    </w:p>
    <w:p w14:paraId="2113B09F" w14:textId="77777777" w:rsidR="00951225" w:rsidRDefault="00951225" w:rsidP="00951225">
      <w:pPr>
        <w:spacing w:line="280" w:lineRule="exact"/>
        <w:rPr>
          <w:rFonts w:cstheme="minorHAnsi"/>
          <w:szCs w:val="20"/>
        </w:rPr>
      </w:pPr>
    </w:p>
    <w:p w14:paraId="16C6F37F" w14:textId="55910E11" w:rsidR="00460EBE" w:rsidRPr="00041319" w:rsidRDefault="00460EBE" w:rsidP="00951225">
      <w:pPr>
        <w:spacing w:line="280" w:lineRule="exact"/>
        <w:rPr>
          <w:rFonts w:cstheme="minorHAnsi"/>
          <w:b/>
          <w:bCs/>
          <w:szCs w:val="20"/>
          <w:u w:val="single"/>
        </w:rPr>
      </w:pPr>
      <w:r w:rsidRPr="00041319">
        <w:rPr>
          <w:rFonts w:cstheme="minorHAnsi"/>
          <w:b/>
          <w:bCs/>
          <w:szCs w:val="20"/>
          <w:u w:val="single"/>
        </w:rPr>
        <w:t>How to apply</w:t>
      </w:r>
    </w:p>
    <w:p w14:paraId="27C82729" w14:textId="44CD75DD" w:rsidR="00951225" w:rsidRPr="00951225" w:rsidRDefault="00460EBE" w:rsidP="00951225">
      <w:pPr>
        <w:rPr>
          <w:rFonts w:cstheme="minorHAnsi"/>
          <w:szCs w:val="20"/>
        </w:rPr>
      </w:pPr>
      <w:r>
        <w:rPr>
          <w:rFonts w:cstheme="minorHAnsi"/>
          <w:szCs w:val="20"/>
        </w:rPr>
        <w:t>Candidates wishing to apply for this role are invited to [</w:t>
      </w:r>
      <w:commentRangeStart w:id="2"/>
      <w:r>
        <w:rPr>
          <w:rFonts w:cstheme="minorHAnsi"/>
          <w:szCs w:val="20"/>
        </w:rPr>
        <w:t>X</w:t>
      </w:r>
      <w:commentRangeEnd w:id="2"/>
      <w:r w:rsidR="00A5439F">
        <w:rPr>
          <w:rStyle w:val="CommentReference"/>
        </w:rPr>
        <w:commentReference w:id="2"/>
      </w:r>
      <w:r>
        <w:rPr>
          <w:rFonts w:cstheme="minorHAnsi"/>
          <w:szCs w:val="20"/>
        </w:rPr>
        <w:t>].</w:t>
      </w:r>
    </w:p>
    <w:sectPr w:rsidR="00951225" w:rsidRPr="00951225" w:rsidSect="00A8452A">
      <w:footerReference w:type="default" r:id="rId13"/>
      <w:headerReference w:type="first" r:id="rId14"/>
      <w:footerReference w:type="first" r:id="rId15"/>
      <w:pgSz w:w="11900" w:h="16820"/>
      <w:pgMar w:top="2268" w:right="1418" w:bottom="964" w:left="1701" w:header="680"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hristophe HECK" w:date="2025-10-21T12:09:00Z" w:initials="CH">
    <w:p w14:paraId="49966EB2" w14:textId="77777777" w:rsidR="00433F20" w:rsidRDefault="00433F20" w:rsidP="00433F20">
      <w:pPr>
        <w:pStyle w:val="CommentText"/>
      </w:pPr>
      <w:r>
        <w:rPr>
          <w:rStyle w:val="CommentReference"/>
        </w:rPr>
        <w:annotationRef/>
      </w:r>
      <w:r>
        <w:rPr>
          <w:lang w:val="fr-CH"/>
        </w:rPr>
        <w:t>One chef, let’s not dillute with mentioning oversight of AAE Board.</w:t>
      </w:r>
    </w:p>
  </w:comment>
  <w:comment w:id="1" w:author="Malcolm Kemp" w:date="2025-10-24T12:09:00Z" w:initials="MK">
    <w:p w14:paraId="5495EA21" w14:textId="77777777" w:rsidR="00A85962" w:rsidRDefault="00A85962" w:rsidP="00A85962">
      <w:pPr>
        <w:pStyle w:val="CommentText"/>
      </w:pPr>
      <w:r>
        <w:rPr>
          <w:rStyle w:val="CommentReference"/>
        </w:rPr>
        <w:annotationRef/>
      </w:r>
      <w:r>
        <w:t>Should this be 4?</w:t>
      </w:r>
    </w:p>
  </w:comment>
  <w:comment w:id="2" w:author="Malcolm Kemp" w:date="2025-10-24T12:35:00Z" w:initials="MK">
    <w:p w14:paraId="78AAA684" w14:textId="371536FC" w:rsidR="00A5439F" w:rsidRDefault="00A5439F" w:rsidP="00A5439F">
      <w:pPr>
        <w:pStyle w:val="CommentText"/>
      </w:pPr>
      <w:r>
        <w:rPr>
          <w:rStyle w:val="CommentReference"/>
        </w:rPr>
        <w:annotationRef/>
      </w:r>
      <w:r>
        <w:t>This to include a summary of what they need to do, by when, to whom they need to send their application and the format of the application.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9966EB2" w15:done="0"/>
  <w15:commentEx w15:paraId="5495EA21" w15:done="0"/>
  <w15:commentEx w15:paraId="78AAA6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3C531C" w16cex:dateUtc="2025-10-21T10:09:00Z"/>
  <w16cex:commentExtensible w16cex:durableId="6431F631" w16cex:dateUtc="2025-10-24T11:09:00Z"/>
  <w16cex:commentExtensible w16cex:durableId="5108F6C1" w16cex:dateUtc="2025-10-24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966EB2" w16cid:durableId="7A3C531C"/>
  <w16cid:commentId w16cid:paraId="5495EA21" w16cid:durableId="6431F631"/>
  <w16cid:commentId w16cid:paraId="78AAA684" w16cid:durableId="5108F6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3F793" w14:textId="77777777" w:rsidR="00FB4E1F" w:rsidRDefault="00FB4E1F" w:rsidP="00875780">
      <w:r>
        <w:separator/>
      </w:r>
    </w:p>
  </w:endnote>
  <w:endnote w:type="continuationSeparator" w:id="0">
    <w:p w14:paraId="028B32E0" w14:textId="77777777" w:rsidR="00FB4E1F" w:rsidRDefault="00FB4E1F" w:rsidP="0087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5D069" w14:textId="00A617FA" w:rsidR="007C5489" w:rsidRPr="009E684F" w:rsidRDefault="00230C38" w:rsidP="009E2241">
    <w:pPr>
      <w:pStyle w:val="Footer"/>
      <w:tabs>
        <w:tab w:val="clear" w:pos="4536"/>
        <w:tab w:val="center" w:pos="4253"/>
      </w:tabs>
      <w:ind w:right="360"/>
      <w:rPr>
        <w:i/>
        <w:szCs w:val="16"/>
      </w:rPr>
    </w:pPr>
    <w:r>
      <w:rPr>
        <w:i/>
        <w:szCs w:val="16"/>
      </w:rPr>
      <w:t>Job Description Chief Executive</w:t>
    </w:r>
    <w:r w:rsidR="007C5489" w:rsidRPr="009E684F">
      <w:rPr>
        <w:i/>
        <w:szCs w:val="16"/>
      </w:rPr>
      <w:tab/>
      <w:t xml:space="preserve">Page </w:t>
    </w:r>
    <w:r w:rsidR="007C5489" w:rsidRPr="009E684F">
      <w:rPr>
        <w:i/>
        <w:szCs w:val="16"/>
      </w:rPr>
      <w:fldChar w:fldCharType="begin"/>
    </w:r>
    <w:r w:rsidR="007C5489" w:rsidRPr="009E684F">
      <w:rPr>
        <w:i/>
        <w:szCs w:val="16"/>
      </w:rPr>
      <w:instrText xml:space="preserve"> PAGE  \* Arabic  \* MERGEFORMAT </w:instrText>
    </w:r>
    <w:r w:rsidR="007C5489" w:rsidRPr="009E684F">
      <w:rPr>
        <w:i/>
        <w:szCs w:val="16"/>
      </w:rPr>
      <w:fldChar w:fldCharType="separate"/>
    </w:r>
    <w:r w:rsidR="00574923" w:rsidRPr="009E684F">
      <w:rPr>
        <w:i/>
        <w:noProof/>
        <w:szCs w:val="16"/>
      </w:rPr>
      <w:t>2</w:t>
    </w:r>
    <w:r w:rsidR="007C5489" w:rsidRPr="009E684F">
      <w:rPr>
        <w:i/>
        <w:szCs w:val="16"/>
      </w:rPr>
      <w:fldChar w:fldCharType="end"/>
    </w:r>
    <w:r w:rsidR="007C5489" w:rsidRPr="009E684F">
      <w:rPr>
        <w:i/>
        <w:szCs w:val="16"/>
      </w:rPr>
      <w:t xml:space="preserve"> of </w:t>
    </w:r>
    <w:r w:rsidR="007C5489" w:rsidRPr="009E684F">
      <w:rPr>
        <w:i/>
        <w:szCs w:val="16"/>
      </w:rPr>
      <w:fldChar w:fldCharType="begin"/>
    </w:r>
    <w:r w:rsidR="007C5489" w:rsidRPr="009E684F">
      <w:rPr>
        <w:i/>
        <w:szCs w:val="16"/>
      </w:rPr>
      <w:instrText xml:space="preserve"> NUMPAGES  \* Arabic  \* MERGEFORMAT </w:instrText>
    </w:r>
    <w:r w:rsidR="007C5489" w:rsidRPr="009E684F">
      <w:rPr>
        <w:i/>
        <w:szCs w:val="16"/>
      </w:rPr>
      <w:fldChar w:fldCharType="separate"/>
    </w:r>
    <w:r w:rsidR="00574923" w:rsidRPr="009E684F">
      <w:rPr>
        <w:i/>
        <w:noProof/>
        <w:szCs w:val="16"/>
      </w:rPr>
      <w:t>2</w:t>
    </w:r>
    <w:r w:rsidR="007C5489" w:rsidRPr="009E684F">
      <w:rPr>
        <w:i/>
        <w:noProof/>
        <w:szCs w:val="16"/>
      </w:rPr>
      <w:fldChar w:fldCharType="end"/>
    </w:r>
    <w:r w:rsidR="007C5489" w:rsidRPr="009E684F">
      <w:rPr>
        <w:i/>
        <w:szCs w:val="16"/>
      </w:rPr>
      <w:tab/>
      <w:t xml:space="preserve">  </w:t>
    </w:r>
    <w:r w:rsidR="0037433E" w:rsidRPr="009E684F">
      <w:rPr>
        <w:i/>
        <w:szCs w:val="16"/>
      </w:rPr>
      <w:fldChar w:fldCharType="begin"/>
    </w:r>
    <w:r w:rsidR="0037433E" w:rsidRPr="009E684F">
      <w:rPr>
        <w:i/>
        <w:szCs w:val="16"/>
      </w:rPr>
      <w:instrText xml:space="preserve"> DATE \@ "d MMMM yyyy" </w:instrText>
    </w:r>
    <w:r w:rsidR="0037433E" w:rsidRPr="009E684F">
      <w:rPr>
        <w:i/>
        <w:szCs w:val="16"/>
      </w:rPr>
      <w:fldChar w:fldCharType="separate"/>
    </w:r>
    <w:r w:rsidR="00FB7414">
      <w:rPr>
        <w:i/>
        <w:noProof/>
        <w:szCs w:val="16"/>
      </w:rPr>
      <w:t>27 October 2025</w:t>
    </w:r>
    <w:r w:rsidR="0037433E" w:rsidRPr="009E684F">
      <w:rPr>
        <w:i/>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BDE9" w14:textId="77777777" w:rsidR="007C5489" w:rsidRDefault="007C5489" w:rsidP="009E684F">
    <w:pPr>
      <w:pStyle w:val="Footer"/>
    </w:pPr>
    <w:r w:rsidRPr="009B0F83">
      <w:rPr>
        <w:i/>
      </w:rPr>
      <w:t xml:space="preserve">The Actuarial Association of Europe is registered in the EU Transparency Register under number </w:t>
    </w:r>
    <w:r w:rsidRPr="009B0F83">
      <w:rPr>
        <w:rFonts w:cs="Arial"/>
        <w:i/>
      </w:rPr>
      <w:t>550855911144-54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134EB" w14:textId="77777777" w:rsidR="00FB4E1F" w:rsidRDefault="00FB4E1F" w:rsidP="00875780">
      <w:r>
        <w:separator/>
      </w:r>
    </w:p>
  </w:footnote>
  <w:footnote w:type="continuationSeparator" w:id="0">
    <w:p w14:paraId="5C86BEC7" w14:textId="77777777" w:rsidR="00FB4E1F" w:rsidRDefault="00FB4E1F" w:rsidP="00875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EC3D" w14:textId="77777777" w:rsidR="007C5489" w:rsidRPr="00EA2EEE" w:rsidRDefault="00215DFE">
    <w:pPr>
      <w:pStyle w:val="Header"/>
      <w:rPr>
        <w:vertAlign w:val="subscript"/>
      </w:rPr>
    </w:pPr>
    <w:r>
      <w:rPr>
        <w:noProof/>
        <w:vertAlign w:val="subscript"/>
      </w:rPr>
      <w:drawing>
        <wp:anchor distT="0" distB="0" distL="114300" distR="114300" simplePos="0" relativeHeight="251669504" behindDoc="1" locked="0" layoutInCell="1" allowOverlap="1" wp14:anchorId="67CBD071" wp14:editId="110877B0">
          <wp:simplePos x="0" y="0"/>
          <wp:positionH relativeFrom="page">
            <wp:posOffset>0</wp:posOffset>
          </wp:positionH>
          <wp:positionV relativeFrom="page">
            <wp:posOffset>0</wp:posOffset>
          </wp:positionV>
          <wp:extent cx="7603200" cy="2066400"/>
          <wp:effectExtent l="0" t="0" r="4445" b="381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tergrond-briefpapier-1.png"/>
                  <pic:cNvPicPr/>
                </pic:nvPicPr>
                <pic:blipFill>
                  <a:blip r:embed="rId1"/>
                  <a:stretch>
                    <a:fillRect/>
                  </a:stretch>
                </pic:blipFill>
                <pic:spPr>
                  <a:xfrm>
                    <a:off x="0" y="0"/>
                    <a:ext cx="7603200" cy="2066400"/>
                  </a:xfrm>
                  <a:prstGeom prst="rect">
                    <a:avLst/>
                  </a:prstGeom>
                </pic:spPr>
              </pic:pic>
            </a:graphicData>
          </a:graphic>
          <wp14:sizeRelH relativeFrom="margin">
            <wp14:pctWidth>0</wp14:pctWidth>
          </wp14:sizeRelH>
          <wp14:sizeRelV relativeFrom="margin">
            <wp14:pctHeight>0</wp14:pctHeight>
          </wp14:sizeRelV>
        </wp:anchor>
      </w:drawing>
    </w:r>
    <w:r w:rsidR="00391461">
      <w:rPr>
        <w:noProof/>
        <w:vertAlign w:val="subscript"/>
      </w:rPr>
      <w:softHyphen/>
    </w:r>
    <w:r w:rsidR="00391461">
      <w:rPr>
        <w:noProof/>
        <w:vertAlign w:val="subscript"/>
      </w:rPr>
      <w:softHyphen/>
    </w:r>
    <w:r w:rsidR="00391461">
      <w:rPr>
        <w:noProof/>
        <w:vertAlign w:val="subscript"/>
      </w:rPr>
      <w:softHyphen/>
    </w:r>
    <w:r w:rsidR="00025F88">
      <w:rPr>
        <w:noProof/>
        <w:vertAlign w:val="subscript"/>
      </w:rPr>
      <w:softHyphen/>
    </w:r>
    <w:r w:rsidR="00025F88">
      <w:rPr>
        <w:noProof/>
        <w:vertAlign w:val="subscript"/>
      </w:rPr>
      <w:softHyphen/>
    </w:r>
    <w:r w:rsidR="00025F88">
      <w:rPr>
        <w:noProof/>
        <w:vertAlign w:val="subscript"/>
      </w:rPr>
      <w:softHyphen/>
    </w:r>
    <w:r w:rsidR="00025F88">
      <w:rPr>
        <w:noProof/>
        <w:vertAlign w:val="subscript"/>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7351A0"/>
    <w:multiLevelType w:val="hybridMultilevel"/>
    <w:tmpl w:val="A9DA86C0"/>
    <w:lvl w:ilvl="0" w:tplc="B6EE61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0B6698C"/>
    <w:multiLevelType w:val="hybridMultilevel"/>
    <w:tmpl w:val="ADB0C29E"/>
    <w:lvl w:ilvl="0" w:tplc="AA24AEF2">
      <w:start w:val="1"/>
      <w:numFmt w:val="bullet"/>
      <w:pStyle w:val="Lijst1"/>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92733E"/>
    <w:multiLevelType w:val="hybridMultilevel"/>
    <w:tmpl w:val="DC5A10D0"/>
    <w:lvl w:ilvl="0" w:tplc="040C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436E06"/>
    <w:multiLevelType w:val="hybridMultilevel"/>
    <w:tmpl w:val="75A2371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8534C9"/>
    <w:multiLevelType w:val="hybridMultilevel"/>
    <w:tmpl w:val="8E5AB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CA10A0"/>
    <w:multiLevelType w:val="hybridMultilevel"/>
    <w:tmpl w:val="E8D4B016"/>
    <w:lvl w:ilvl="0" w:tplc="040E0003">
      <w:start w:val="1"/>
      <w:numFmt w:val="bullet"/>
      <w:lvlText w:val="o"/>
      <w:lvlJc w:val="left"/>
      <w:pPr>
        <w:ind w:left="1363" w:hanging="360"/>
      </w:pPr>
      <w:rPr>
        <w:rFonts w:ascii="Courier New" w:hAnsi="Courier New" w:cs="Courier New" w:hint="default"/>
      </w:rPr>
    </w:lvl>
    <w:lvl w:ilvl="1" w:tplc="040E0003" w:tentative="1">
      <w:start w:val="1"/>
      <w:numFmt w:val="bullet"/>
      <w:lvlText w:val="o"/>
      <w:lvlJc w:val="left"/>
      <w:pPr>
        <w:ind w:left="2083" w:hanging="360"/>
      </w:pPr>
      <w:rPr>
        <w:rFonts w:ascii="Courier New" w:hAnsi="Courier New" w:cs="Courier New" w:hint="default"/>
      </w:rPr>
    </w:lvl>
    <w:lvl w:ilvl="2" w:tplc="040E0005" w:tentative="1">
      <w:start w:val="1"/>
      <w:numFmt w:val="bullet"/>
      <w:lvlText w:val=""/>
      <w:lvlJc w:val="left"/>
      <w:pPr>
        <w:ind w:left="2803" w:hanging="360"/>
      </w:pPr>
      <w:rPr>
        <w:rFonts w:ascii="Wingdings" w:hAnsi="Wingdings" w:hint="default"/>
      </w:rPr>
    </w:lvl>
    <w:lvl w:ilvl="3" w:tplc="040E0001" w:tentative="1">
      <w:start w:val="1"/>
      <w:numFmt w:val="bullet"/>
      <w:lvlText w:val=""/>
      <w:lvlJc w:val="left"/>
      <w:pPr>
        <w:ind w:left="3523" w:hanging="360"/>
      </w:pPr>
      <w:rPr>
        <w:rFonts w:ascii="Symbol" w:hAnsi="Symbol" w:hint="default"/>
      </w:rPr>
    </w:lvl>
    <w:lvl w:ilvl="4" w:tplc="040E0003" w:tentative="1">
      <w:start w:val="1"/>
      <w:numFmt w:val="bullet"/>
      <w:lvlText w:val="o"/>
      <w:lvlJc w:val="left"/>
      <w:pPr>
        <w:ind w:left="4243" w:hanging="360"/>
      </w:pPr>
      <w:rPr>
        <w:rFonts w:ascii="Courier New" w:hAnsi="Courier New" w:cs="Courier New" w:hint="default"/>
      </w:rPr>
    </w:lvl>
    <w:lvl w:ilvl="5" w:tplc="040E0005" w:tentative="1">
      <w:start w:val="1"/>
      <w:numFmt w:val="bullet"/>
      <w:lvlText w:val=""/>
      <w:lvlJc w:val="left"/>
      <w:pPr>
        <w:ind w:left="4963" w:hanging="360"/>
      </w:pPr>
      <w:rPr>
        <w:rFonts w:ascii="Wingdings" w:hAnsi="Wingdings" w:hint="default"/>
      </w:rPr>
    </w:lvl>
    <w:lvl w:ilvl="6" w:tplc="040E0001" w:tentative="1">
      <w:start w:val="1"/>
      <w:numFmt w:val="bullet"/>
      <w:lvlText w:val=""/>
      <w:lvlJc w:val="left"/>
      <w:pPr>
        <w:ind w:left="5683" w:hanging="360"/>
      </w:pPr>
      <w:rPr>
        <w:rFonts w:ascii="Symbol" w:hAnsi="Symbol" w:hint="default"/>
      </w:rPr>
    </w:lvl>
    <w:lvl w:ilvl="7" w:tplc="040E0003" w:tentative="1">
      <w:start w:val="1"/>
      <w:numFmt w:val="bullet"/>
      <w:lvlText w:val="o"/>
      <w:lvlJc w:val="left"/>
      <w:pPr>
        <w:ind w:left="6403" w:hanging="360"/>
      </w:pPr>
      <w:rPr>
        <w:rFonts w:ascii="Courier New" w:hAnsi="Courier New" w:cs="Courier New" w:hint="default"/>
      </w:rPr>
    </w:lvl>
    <w:lvl w:ilvl="8" w:tplc="040E0005" w:tentative="1">
      <w:start w:val="1"/>
      <w:numFmt w:val="bullet"/>
      <w:lvlText w:val=""/>
      <w:lvlJc w:val="left"/>
      <w:pPr>
        <w:ind w:left="7123" w:hanging="360"/>
      </w:pPr>
      <w:rPr>
        <w:rFonts w:ascii="Wingdings" w:hAnsi="Wingdings" w:hint="default"/>
      </w:rPr>
    </w:lvl>
  </w:abstractNum>
  <w:num w:numId="1" w16cid:durableId="546995882">
    <w:abstractNumId w:val="2"/>
  </w:num>
  <w:num w:numId="2" w16cid:durableId="363289858">
    <w:abstractNumId w:val="2"/>
  </w:num>
  <w:num w:numId="3" w16cid:durableId="853494692">
    <w:abstractNumId w:val="5"/>
  </w:num>
  <w:num w:numId="4" w16cid:durableId="110326233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16cid:durableId="445002204">
    <w:abstractNumId w:val="6"/>
  </w:num>
  <w:num w:numId="6" w16cid:durableId="1389962807">
    <w:abstractNumId w:val="3"/>
  </w:num>
  <w:num w:numId="7" w16cid:durableId="1342855672">
    <w:abstractNumId w:val="4"/>
  </w:num>
  <w:num w:numId="8" w16cid:durableId="63649434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tophe HECK">
    <w15:presenceInfo w15:providerId="AD" w15:userId="S::Christophe_Heck@swissre.com::eb9a49b7-7995-4185-b813-09569bb3e980"/>
  </w15:person>
  <w15:person w15:author="Malcolm Kemp">
    <w15:presenceInfo w15:providerId="AD" w15:userId="S::MalcolmKemp@wonderseekers.charity::b494a73e-dd29-4ce1-9fde-7c7032e79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61"/>
    <w:rsid w:val="00003940"/>
    <w:rsid w:val="00011303"/>
    <w:rsid w:val="00012B43"/>
    <w:rsid w:val="00025F88"/>
    <w:rsid w:val="00041319"/>
    <w:rsid w:val="00064743"/>
    <w:rsid w:val="00071E1B"/>
    <w:rsid w:val="000729A2"/>
    <w:rsid w:val="00086493"/>
    <w:rsid w:val="000A44AE"/>
    <w:rsid w:val="000A5756"/>
    <w:rsid w:val="000B34B9"/>
    <w:rsid w:val="000B586E"/>
    <w:rsid w:val="000E3741"/>
    <w:rsid w:val="001201D8"/>
    <w:rsid w:val="001420E4"/>
    <w:rsid w:val="00143E01"/>
    <w:rsid w:val="00155CBB"/>
    <w:rsid w:val="00167E1F"/>
    <w:rsid w:val="001A08CF"/>
    <w:rsid w:val="001A457A"/>
    <w:rsid w:val="001D3186"/>
    <w:rsid w:val="00215DFE"/>
    <w:rsid w:val="0022691C"/>
    <w:rsid w:val="00230C38"/>
    <w:rsid w:val="0023609E"/>
    <w:rsid w:val="0023665F"/>
    <w:rsid w:val="00255424"/>
    <w:rsid w:val="00260A0B"/>
    <w:rsid w:val="002661B4"/>
    <w:rsid w:val="00272873"/>
    <w:rsid w:val="002975E8"/>
    <w:rsid w:val="002A393B"/>
    <w:rsid w:val="002B2805"/>
    <w:rsid w:val="002C0953"/>
    <w:rsid w:val="002C75C8"/>
    <w:rsid w:val="00314A48"/>
    <w:rsid w:val="0031797E"/>
    <w:rsid w:val="003237A9"/>
    <w:rsid w:val="00371366"/>
    <w:rsid w:val="0037433E"/>
    <w:rsid w:val="00375620"/>
    <w:rsid w:val="00391461"/>
    <w:rsid w:val="003C48AC"/>
    <w:rsid w:val="003C765F"/>
    <w:rsid w:val="003E266E"/>
    <w:rsid w:val="00407562"/>
    <w:rsid w:val="00433F20"/>
    <w:rsid w:val="00436781"/>
    <w:rsid w:val="00451CBC"/>
    <w:rsid w:val="00460EBE"/>
    <w:rsid w:val="00463B60"/>
    <w:rsid w:val="0049036D"/>
    <w:rsid w:val="00490432"/>
    <w:rsid w:val="004A7042"/>
    <w:rsid w:val="004C7AE7"/>
    <w:rsid w:val="00521A20"/>
    <w:rsid w:val="00524B78"/>
    <w:rsid w:val="00526738"/>
    <w:rsid w:val="005518CA"/>
    <w:rsid w:val="005665AA"/>
    <w:rsid w:val="00570178"/>
    <w:rsid w:val="00574923"/>
    <w:rsid w:val="005756D7"/>
    <w:rsid w:val="00590EED"/>
    <w:rsid w:val="0059709C"/>
    <w:rsid w:val="005A60A5"/>
    <w:rsid w:val="005D1CE3"/>
    <w:rsid w:val="005E3425"/>
    <w:rsid w:val="005E6508"/>
    <w:rsid w:val="006135C8"/>
    <w:rsid w:val="00620A03"/>
    <w:rsid w:val="006402CD"/>
    <w:rsid w:val="0066081D"/>
    <w:rsid w:val="00664216"/>
    <w:rsid w:val="00681D12"/>
    <w:rsid w:val="00687DE3"/>
    <w:rsid w:val="006C6C67"/>
    <w:rsid w:val="006E03A1"/>
    <w:rsid w:val="006F7F22"/>
    <w:rsid w:val="00765B64"/>
    <w:rsid w:val="00775CD6"/>
    <w:rsid w:val="00776764"/>
    <w:rsid w:val="00792A5D"/>
    <w:rsid w:val="00792E4E"/>
    <w:rsid w:val="007A0B2C"/>
    <w:rsid w:val="007B08B9"/>
    <w:rsid w:val="007B6CB4"/>
    <w:rsid w:val="007C310D"/>
    <w:rsid w:val="007C5489"/>
    <w:rsid w:val="007F3812"/>
    <w:rsid w:val="008051F0"/>
    <w:rsid w:val="0082004E"/>
    <w:rsid w:val="008275A0"/>
    <w:rsid w:val="00843DA2"/>
    <w:rsid w:val="008643BE"/>
    <w:rsid w:val="00875780"/>
    <w:rsid w:val="008830FB"/>
    <w:rsid w:val="00885DF2"/>
    <w:rsid w:val="008870C3"/>
    <w:rsid w:val="008A1290"/>
    <w:rsid w:val="008A58DC"/>
    <w:rsid w:val="008C1CF4"/>
    <w:rsid w:val="008C338A"/>
    <w:rsid w:val="008C3F45"/>
    <w:rsid w:val="008E1744"/>
    <w:rsid w:val="00901001"/>
    <w:rsid w:val="00925EE2"/>
    <w:rsid w:val="00946BAE"/>
    <w:rsid w:val="00951225"/>
    <w:rsid w:val="00976774"/>
    <w:rsid w:val="00985A4B"/>
    <w:rsid w:val="00987761"/>
    <w:rsid w:val="009B0F83"/>
    <w:rsid w:val="009E2241"/>
    <w:rsid w:val="009E5E0E"/>
    <w:rsid w:val="009E684F"/>
    <w:rsid w:val="009F258B"/>
    <w:rsid w:val="00A07CE9"/>
    <w:rsid w:val="00A14CFA"/>
    <w:rsid w:val="00A41B8F"/>
    <w:rsid w:val="00A5439F"/>
    <w:rsid w:val="00A8452A"/>
    <w:rsid w:val="00A85962"/>
    <w:rsid w:val="00A91853"/>
    <w:rsid w:val="00AA3223"/>
    <w:rsid w:val="00AF3017"/>
    <w:rsid w:val="00AF6616"/>
    <w:rsid w:val="00B21284"/>
    <w:rsid w:val="00B41CE1"/>
    <w:rsid w:val="00B4463A"/>
    <w:rsid w:val="00B45F88"/>
    <w:rsid w:val="00B52F55"/>
    <w:rsid w:val="00B55E02"/>
    <w:rsid w:val="00B74940"/>
    <w:rsid w:val="00B82CD5"/>
    <w:rsid w:val="00BD22BA"/>
    <w:rsid w:val="00BE488F"/>
    <w:rsid w:val="00BF5A2B"/>
    <w:rsid w:val="00C30B99"/>
    <w:rsid w:val="00C317D1"/>
    <w:rsid w:val="00C33AE9"/>
    <w:rsid w:val="00C64762"/>
    <w:rsid w:val="00C72512"/>
    <w:rsid w:val="00C9555E"/>
    <w:rsid w:val="00CA0853"/>
    <w:rsid w:val="00CA742B"/>
    <w:rsid w:val="00CB5F1D"/>
    <w:rsid w:val="00CC21FB"/>
    <w:rsid w:val="00CE0753"/>
    <w:rsid w:val="00CE6F47"/>
    <w:rsid w:val="00D060F6"/>
    <w:rsid w:val="00D24709"/>
    <w:rsid w:val="00D6008F"/>
    <w:rsid w:val="00D6329C"/>
    <w:rsid w:val="00D82278"/>
    <w:rsid w:val="00D8566B"/>
    <w:rsid w:val="00D942AB"/>
    <w:rsid w:val="00DA0A39"/>
    <w:rsid w:val="00DB0D0A"/>
    <w:rsid w:val="00DC0FC1"/>
    <w:rsid w:val="00E15A4D"/>
    <w:rsid w:val="00E2094C"/>
    <w:rsid w:val="00E23BDF"/>
    <w:rsid w:val="00E41F09"/>
    <w:rsid w:val="00E42ABC"/>
    <w:rsid w:val="00E81028"/>
    <w:rsid w:val="00E830D6"/>
    <w:rsid w:val="00EA2EEE"/>
    <w:rsid w:val="00EA61C4"/>
    <w:rsid w:val="00EA64F1"/>
    <w:rsid w:val="00EC1D81"/>
    <w:rsid w:val="00EC5201"/>
    <w:rsid w:val="00F01585"/>
    <w:rsid w:val="00F167DF"/>
    <w:rsid w:val="00F500FA"/>
    <w:rsid w:val="00F65055"/>
    <w:rsid w:val="00F6768F"/>
    <w:rsid w:val="00F72507"/>
    <w:rsid w:val="00F84CD1"/>
    <w:rsid w:val="00F905AE"/>
    <w:rsid w:val="00FA1F92"/>
    <w:rsid w:val="00FA712A"/>
    <w:rsid w:val="00FB4E1F"/>
    <w:rsid w:val="00FB7414"/>
    <w:rsid w:val="00FF51DC"/>
    <w:rsid w:val="00FF52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39DB63"/>
  <w14:defaultImageDpi w14:val="300"/>
  <w15:docId w15:val="{4061085E-3D23-EB49-BEE0-86DBD3F7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E488F"/>
    <w:pPr>
      <w:spacing w:line="312" w:lineRule="auto"/>
    </w:pPr>
    <w:rPr>
      <w:sz w:val="20"/>
    </w:rPr>
  </w:style>
  <w:style w:type="paragraph" w:styleId="Heading1">
    <w:name w:val="heading 1"/>
    <w:basedOn w:val="Normal"/>
    <w:next w:val="Normal"/>
    <w:link w:val="Heading1Char"/>
    <w:uiPriority w:val="9"/>
    <w:qFormat/>
    <w:rsid w:val="00BE488F"/>
    <w:pPr>
      <w:widowControl w:val="0"/>
      <w:suppressAutoHyphens/>
      <w:spacing w:after="280"/>
      <w:jc w:val="both"/>
      <w:outlineLvl w:val="0"/>
    </w:pPr>
    <w:rPr>
      <w:rFonts w:eastAsia="Arial Unicode MS" w:cs="Arial Unicode MS"/>
      <w:b/>
      <w:bCs/>
      <w:caps/>
      <w:color w:val="1D79AF"/>
      <w:spacing w:val="8"/>
      <w:kern w:val="24"/>
      <w:sz w:val="24"/>
      <w:lang w:val="nl-NL" w:eastAsia="hi-IN" w:bidi="hi-IN"/>
    </w:rPr>
  </w:style>
  <w:style w:type="paragraph" w:styleId="Heading2">
    <w:name w:val="heading 2"/>
    <w:basedOn w:val="Normal"/>
    <w:next w:val="Normal"/>
    <w:link w:val="Heading2Char"/>
    <w:uiPriority w:val="9"/>
    <w:unhideWhenUsed/>
    <w:qFormat/>
    <w:rsid w:val="00407562"/>
    <w:pPr>
      <w:widowControl w:val="0"/>
      <w:suppressAutoHyphens/>
      <w:jc w:val="both"/>
      <w:outlineLvl w:val="1"/>
    </w:pPr>
    <w:rPr>
      <w:rFonts w:eastAsia="Arial Unicode MS" w:cs="Arial Unicode MS"/>
      <w:b/>
      <w:color w:val="0B3D53" w:themeColor="text1"/>
      <w:kern w:val="1"/>
      <w:sz w:val="23"/>
      <w:lang w:val="en-US" w:eastAsia="hi-IN" w:bidi="hi-IN"/>
    </w:rPr>
  </w:style>
  <w:style w:type="paragraph" w:styleId="Heading4">
    <w:name w:val="heading 4"/>
    <w:aliases w:val="voorwoord"/>
    <w:basedOn w:val="TOCHeading"/>
    <w:next w:val="Normal"/>
    <w:link w:val="Heading4Char"/>
    <w:semiHidden/>
    <w:qFormat/>
    <w:rsid w:val="00F72507"/>
    <w:pPr>
      <w:tabs>
        <w:tab w:val="left" w:pos="567"/>
      </w:tabs>
      <w:spacing w:beforeAutospacing="1" w:after="100" w:afterAutospacing="1" w:line="276" w:lineRule="auto"/>
      <w:outlineLvl w:val="3"/>
    </w:pPr>
    <w:rPr>
      <w:rFonts w:ascii="Verdana" w:eastAsia="MS Gothic" w:hAnsi="Verdana" w:cs="Times New Roman"/>
      <w:bCs w:val="0"/>
      <w:color w:val="842A2B" w:themeColor="accent2"/>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voorwoord Char"/>
    <w:basedOn w:val="DefaultParagraphFont"/>
    <w:link w:val="Heading4"/>
    <w:semiHidden/>
    <w:rsid w:val="00F72507"/>
    <w:rPr>
      <w:rFonts w:ascii="Verdana" w:eastAsia="MS Gothic" w:hAnsi="Verdana" w:cs="Times New Roman"/>
      <w:b/>
      <w:color w:val="842A2B" w:themeColor="accent2"/>
      <w:sz w:val="32"/>
      <w:szCs w:val="28"/>
    </w:rPr>
  </w:style>
  <w:style w:type="character" w:customStyle="1" w:styleId="Heading1Char">
    <w:name w:val="Heading 1 Char"/>
    <w:basedOn w:val="DefaultParagraphFont"/>
    <w:link w:val="Heading1"/>
    <w:uiPriority w:val="9"/>
    <w:rsid w:val="00BE488F"/>
    <w:rPr>
      <w:rFonts w:eastAsia="Arial Unicode MS" w:cs="Arial Unicode MS"/>
      <w:b/>
      <w:bCs/>
      <w:caps/>
      <w:color w:val="1D79AF"/>
      <w:spacing w:val="8"/>
      <w:kern w:val="24"/>
      <w:lang w:val="nl-NL" w:eastAsia="hi-IN" w:bidi="hi-IN"/>
    </w:rPr>
  </w:style>
  <w:style w:type="paragraph" w:styleId="TOCHeading">
    <w:name w:val="TOC Heading"/>
    <w:basedOn w:val="Heading1"/>
    <w:next w:val="Normal"/>
    <w:uiPriority w:val="39"/>
    <w:semiHidden/>
    <w:unhideWhenUsed/>
    <w:qFormat/>
    <w:rsid w:val="00F72507"/>
    <w:pPr>
      <w:outlineLvl w:val="9"/>
    </w:pPr>
  </w:style>
  <w:style w:type="paragraph" w:customStyle="1" w:styleId="Lijst1">
    <w:name w:val="Lijst1"/>
    <w:basedOn w:val="ListParagraph"/>
    <w:qFormat/>
    <w:rsid w:val="00A14CFA"/>
    <w:pPr>
      <w:numPr>
        <w:numId w:val="2"/>
      </w:numPr>
      <w:tabs>
        <w:tab w:val="left" w:pos="227"/>
      </w:tabs>
      <w:ind w:left="227" w:hanging="227"/>
    </w:pPr>
    <w:rPr>
      <w:rFonts w:eastAsia="Times New Roman" w:cs="Times New Roman"/>
      <w:szCs w:val="21"/>
      <w:lang w:val="nl-NL"/>
    </w:rPr>
  </w:style>
  <w:style w:type="paragraph" w:styleId="ListParagraph">
    <w:name w:val="List Paragraph"/>
    <w:basedOn w:val="Normal"/>
    <w:uiPriority w:val="34"/>
    <w:qFormat/>
    <w:rsid w:val="00620A03"/>
    <w:pPr>
      <w:ind w:left="720"/>
      <w:contextualSpacing/>
    </w:pPr>
  </w:style>
  <w:style w:type="paragraph" w:styleId="BalloonText">
    <w:name w:val="Balloon Text"/>
    <w:basedOn w:val="Normal"/>
    <w:link w:val="BalloonTextChar"/>
    <w:uiPriority w:val="99"/>
    <w:semiHidden/>
    <w:unhideWhenUsed/>
    <w:rsid w:val="008051F0"/>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8051F0"/>
    <w:rPr>
      <w:rFonts w:ascii="Lucida Grande" w:hAnsi="Lucida Grande" w:cs="Lucida Grande"/>
      <w:color w:val="DAE6EB" w:themeColor="background1"/>
      <w:sz w:val="18"/>
      <w:szCs w:val="18"/>
    </w:rPr>
  </w:style>
  <w:style w:type="paragraph" w:styleId="Header">
    <w:name w:val="header"/>
    <w:aliases w:val="HEADER"/>
    <w:basedOn w:val="Normal"/>
    <w:link w:val="HeaderChar"/>
    <w:uiPriority w:val="99"/>
    <w:unhideWhenUsed/>
    <w:rsid w:val="009E684F"/>
    <w:pPr>
      <w:tabs>
        <w:tab w:val="center" w:pos="4536"/>
        <w:tab w:val="right" w:pos="9072"/>
      </w:tabs>
    </w:pPr>
    <w:rPr>
      <w:sz w:val="16"/>
    </w:rPr>
  </w:style>
  <w:style w:type="character" w:customStyle="1" w:styleId="HeaderChar">
    <w:name w:val="Header Char"/>
    <w:aliases w:val="HEADER Char"/>
    <w:basedOn w:val="DefaultParagraphFont"/>
    <w:link w:val="Header"/>
    <w:uiPriority w:val="99"/>
    <w:rsid w:val="009E684F"/>
    <w:rPr>
      <w:sz w:val="16"/>
    </w:rPr>
  </w:style>
  <w:style w:type="paragraph" w:styleId="Footer">
    <w:name w:val="footer"/>
    <w:aliases w:val="FOOTER"/>
    <w:basedOn w:val="Normal"/>
    <w:link w:val="FooterChar"/>
    <w:uiPriority w:val="99"/>
    <w:unhideWhenUsed/>
    <w:rsid w:val="009E684F"/>
    <w:pPr>
      <w:tabs>
        <w:tab w:val="center" w:pos="4536"/>
        <w:tab w:val="right" w:pos="9072"/>
      </w:tabs>
    </w:pPr>
    <w:rPr>
      <w:sz w:val="16"/>
    </w:rPr>
  </w:style>
  <w:style w:type="character" w:customStyle="1" w:styleId="FooterChar">
    <w:name w:val="Footer Char"/>
    <w:aliases w:val="FOOTER Char"/>
    <w:basedOn w:val="DefaultParagraphFont"/>
    <w:link w:val="Footer"/>
    <w:uiPriority w:val="99"/>
    <w:rsid w:val="009E684F"/>
    <w:rPr>
      <w:sz w:val="16"/>
    </w:rPr>
  </w:style>
  <w:style w:type="paragraph" w:customStyle="1" w:styleId="Italic">
    <w:name w:val="Italic"/>
    <w:basedOn w:val="Normal"/>
    <w:qFormat/>
    <w:rsid w:val="00987761"/>
    <w:pPr>
      <w:widowControl w:val="0"/>
      <w:suppressAutoHyphens/>
      <w:spacing w:after="280"/>
    </w:pPr>
    <w:rPr>
      <w:rFonts w:eastAsia="Arial Unicode MS" w:cs="Arial Unicode MS"/>
      <w:i/>
      <w:kern w:val="1"/>
      <w:lang w:eastAsia="hi-IN" w:bidi="hi-IN"/>
    </w:rPr>
  </w:style>
  <w:style w:type="paragraph" w:customStyle="1" w:styleId="DateandRecipient">
    <w:name w:val="Date and Recipient"/>
    <w:basedOn w:val="Normal"/>
    <w:rsid w:val="00A14CFA"/>
    <w:pPr>
      <w:spacing w:before="600"/>
    </w:pPr>
    <w:rPr>
      <w:color w:val="000000"/>
      <w:szCs w:val="22"/>
      <w:lang w:val="nb-NO" w:eastAsia="en-US"/>
    </w:rPr>
  </w:style>
  <w:style w:type="character" w:customStyle="1" w:styleId="Heading2Char">
    <w:name w:val="Heading 2 Char"/>
    <w:basedOn w:val="DefaultParagraphFont"/>
    <w:link w:val="Heading2"/>
    <w:uiPriority w:val="9"/>
    <w:rsid w:val="00407562"/>
    <w:rPr>
      <w:rFonts w:eastAsia="Arial Unicode MS" w:cs="Arial Unicode MS"/>
      <w:b/>
      <w:color w:val="0B3D53" w:themeColor="text1"/>
      <w:kern w:val="1"/>
      <w:sz w:val="23"/>
      <w:lang w:val="en-US" w:eastAsia="hi-IN" w:bidi="hi-IN"/>
    </w:rPr>
  </w:style>
  <w:style w:type="paragraph" w:customStyle="1" w:styleId="Default">
    <w:name w:val="Default"/>
    <w:rsid w:val="00843DA2"/>
    <w:pPr>
      <w:autoSpaceDE w:val="0"/>
      <w:autoSpaceDN w:val="0"/>
      <w:adjustRightInd w:val="0"/>
    </w:pPr>
    <w:rPr>
      <w:rFonts w:ascii="Calibri" w:hAnsi="Calibri" w:cs="Calibri"/>
      <w:color w:val="000000"/>
      <w:lang w:val="en-US"/>
    </w:rPr>
  </w:style>
  <w:style w:type="paragraph" w:styleId="Revision">
    <w:name w:val="Revision"/>
    <w:hidden/>
    <w:uiPriority w:val="99"/>
    <w:semiHidden/>
    <w:rsid w:val="00436781"/>
    <w:rPr>
      <w:sz w:val="20"/>
    </w:rPr>
  </w:style>
  <w:style w:type="character" w:styleId="CommentReference">
    <w:name w:val="annotation reference"/>
    <w:basedOn w:val="DefaultParagraphFont"/>
    <w:uiPriority w:val="99"/>
    <w:semiHidden/>
    <w:unhideWhenUsed/>
    <w:rsid w:val="00436781"/>
    <w:rPr>
      <w:sz w:val="16"/>
      <w:szCs w:val="16"/>
    </w:rPr>
  </w:style>
  <w:style w:type="paragraph" w:styleId="CommentText">
    <w:name w:val="annotation text"/>
    <w:basedOn w:val="Normal"/>
    <w:link w:val="CommentTextChar"/>
    <w:uiPriority w:val="99"/>
    <w:unhideWhenUsed/>
    <w:rsid w:val="00436781"/>
    <w:pPr>
      <w:spacing w:line="240" w:lineRule="auto"/>
    </w:pPr>
    <w:rPr>
      <w:szCs w:val="20"/>
    </w:rPr>
  </w:style>
  <w:style w:type="character" w:customStyle="1" w:styleId="CommentTextChar">
    <w:name w:val="Comment Text Char"/>
    <w:basedOn w:val="DefaultParagraphFont"/>
    <w:link w:val="CommentText"/>
    <w:uiPriority w:val="99"/>
    <w:rsid w:val="00436781"/>
    <w:rPr>
      <w:sz w:val="20"/>
      <w:szCs w:val="20"/>
    </w:rPr>
  </w:style>
  <w:style w:type="paragraph" w:styleId="CommentSubject">
    <w:name w:val="annotation subject"/>
    <w:basedOn w:val="CommentText"/>
    <w:next w:val="CommentText"/>
    <w:link w:val="CommentSubjectChar"/>
    <w:uiPriority w:val="99"/>
    <w:semiHidden/>
    <w:unhideWhenUsed/>
    <w:rsid w:val="00436781"/>
    <w:rPr>
      <w:b/>
      <w:bCs/>
    </w:rPr>
  </w:style>
  <w:style w:type="character" w:customStyle="1" w:styleId="CommentSubjectChar">
    <w:name w:val="Comment Subject Char"/>
    <w:basedOn w:val="CommentTextChar"/>
    <w:link w:val="CommentSubject"/>
    <w:uiPriority w:val="99"/>
    <w:semiHidden/>
    <w:rsid w:val="00436781"/>
    <w:rPr>
      <w:b/>
      <w:bCs/>
      <w:sz w:val="20"/>
      <w:szCs w:val="20"/>
    </w:rPr>
  </w:style>
  <w:style w:type="character" w:styleId="Hyperlink">
    <w:name w:val="Hyperlink"/>
    <w:basedOn w:val="DefaultParagraphFont"/>
    <w:uiPriority w:val="99"/>
    <w:unhideWhenUsed/>
    <w:rsid w:val="00590EED"/>
    <w:rPr>
      <w:color w:val="007BBA" w:themeColor="hyperlink"/>
      <w:u w:val="single"/>
    </w:rPr>
  </w:style>
  <w:style w:type="character" w:styleId="UnresolvedMention">
    <w:name w:val="Unresolved Mention"/>
    <w:basedOn w:val="DefaultParagraphFont"/>
    <w:uiPriority w:val="99"/>
    <w:rsid w:val="00590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tuary.eu/"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AAE-3">
  <a:themeElements>
    <a:clrScheme name="AAE-3">
      <a:dk1>
        <a:srgbClr val="0B3D53"/>
      </a:dk1>
      <a:lt1>
        <a:srgbClr val="DAE6EB"/>
      </a:lt1>
      <a:dk2>
        <a:srgbClr val="C8BE9F"/>
      </a:dk2>
      <a:lt2>
        <a:srgbClr val="ECE8DC"/>
      </a:lt2>
      <a:accent1>
        <a:srgbClr val="007BBA"/>
      </a:accent1>
      <a:accent2>
        <a:srgbClr val="842A2B"/>
      </a:accent2>
      <a:accent3>
        <a:srgbClr val="CFB312"/>
      </a:accent3>
      <a:accent4>
        <a:srgbClr val="055849"/>
      </a:accent4>
      <a:accent5>
        <a:srgbClr val="006C92"/>
      </a:accent5>
      <a:accent6>
        <a:srgbClr val="A02B7C"/>
      </a:accent6>
      <a:hlink>
        <a:srgbClr val="007BBA"/>
      </a:hlink>
      <a:folHlink>
        <a:srgbClr val="007BB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lnDef>
  </a:objectDefaults>
  <a:extraClrSchemeLst>
    <a:extraClrScheme>
      <a:clrScheme name="HN-pp-template 1">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HN-pp-template 2">
        <a:dk1>
          <a:srgbClr val="0E4133"/>
        </a:dk1>
        <a:lt1>
          <a:srgbClr val="FFFFFF"/>
        </a:lt1>
        <a:dk2>
          <a:srgbClr val="93B82B"/>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
      <a:clrScheme name="HN-pp-template 3">
        <a:dk1>
          <a:srgbClr val="0E4133"/>
        </a:dk1>
        <a:lt1>
          <a:srgbClr val="FFFFFF"/>
        </a:lt1>
        <a:dk2>
          <a:srgbClr val="D06000"/>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FDE0E-1B40-6B43-8EB3-A9650CE1A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5621</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VandenAkker Ontwerp</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den Akker</dc:creator>
  <cp:keywords/>
  <dc:description/>
  <cp:lastModifiedBy>Monique Schuilenburg</cp:lastModifiedBy>
  <cp:revision>2</cp:revision>
  <cp:lastPrinted>2025-10-24T11:50:00Z</cp:lastPrinted>
  <dcterms:created xsi:type="dcterms:W3CDTF">2025-10-27T09:38:00Z</dcterms:created>
  <dcterms:modified xsi:type="dcterms:W3CDTF">2025-10-27T09:38:00Z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c2fedb-0da6-4717-8531-d16a1b9930f4_Enabled">
    <vt:lpwstr>true</vt:lpwstr>
  </property>
  <property fmtid="{D5CDD505-2E9C-101B-9397-08002B2CF9AE}" pid="3" name="MSIP_Label_90c2fedb-0da6-4717-8531-d16a1b9930f4_SetDate">
    <vt:lpwstr>2025-10-02T12:49:26Z</vt:lpwstr>
  </property>
  <property fmtid="{D5CDD505-2E9C-101B-9397-08002B2CF9AE}" pid="4" name="MSIP_Label_90c2fedb-0da6-4717-8531-d16a1b9930f4_Method">
    <vt:lpwstr>Standard</vt:lpwstr>
  </property>
  <property fmtid="{D5CDD505-2E9C-101B-9397-08002B2CF9AE}" pid="5" name="MSIP_Label_90c2fedb-0da6-4717-8531-d16a1b9930f4_Name">
    <vt:lpwstr>90c2fedb-0da6-4717-8531-d16a1b9930f4</vt:lpwstr>
  </property>
  <property fmtid="{D5CDD505-2E9C-101B-9397-08002B2CF9AE}" pid="6" name="MSIP_Label_90c2fedb-0da6-4717-8531-d16a1b9930f4_SiteId">
    <vt:lpwstr>45597f60-6e37-4be7-acfb-4c9e23b261ea</vt:lpwstr>
  </property>
  <property fmtid="{D5CDD505-2E9C-101B-9397-08002B2CF9AE}" pid="7" name="MSIP_Label_90c2fedb-0da6-4717-8531-d16a1b9930f4_ActionId">
    <vt:lpwstr>fc73bd88-0d55-4219-9262-62f21e508b76</vt:lpwstr>
  </property>
  <property fmtid="{D5CDD505-2E9C-101B-9397-08002B2CF9AE}" pid="8" name="MSIP_Label_90c2fedb-0da6-4717-8531-d16a1b9930f4_ContentBits">
    <vt:lpwstr>0</vt:lpwstr>
  </property>
  <property fmtid="{D5CDD505-2E9C-101B-9397-08002B2CF9AE}" pid="9" name="MSIP_Label_90c2fedb-0da6-4717-8531-d16a1b9930f4_Tag">
    <vt:lpwstr>10, 3, 0, 1</vt:lpwstr>
  </property>
  <property fmtid="{D5CDD505-2E9C-101B-9397-08002B2CF9AE}" pid="10" name="MSIP_Label_d9b4fdc8-09b3-4311-8f77-000164ee6eab_Enabled">
    <vt:lpwstr>true</vt:lpwstr>
  </property>
  <property fmtid="{D5CDD505-2E9C-101B-9397-08002B2CF9AE}" pid="11" name="MSIP_Label_d9b4fdc8-09b3-4311-8f77-000164ee6eab_SetDate">
    <vt:lpwstr>2025-10-19T17:18:14Z</vt:lpwstr>
  </property>
  <property fmtid="{D5CDD505-2E9C-101B-9397-08002B2CF9AE}" pid="12" name="MSIP_Label_d9b4fdc8-09b3-4311-8f77-000164ee6eab_Method">
    <vt:lpwstr>Standard</vt:lpwstr>
  </property>
  <property fmtid="{D5CDD505-2E9C-101B-9397-08002B2CF9AE}" pid="13" name="MSIP_Label_d9b4fdc8-09b3-4311-8f77-000164ee6eab_Name">
    <vt:lpwstr>Interne</vt:lpwstr>
  </property>
  <property fmtid="{D5CDD505-2E9C-101B-9397-08002B2CF9AE}" pid="14" name="MSIP_Label_d9b4fdc8-09b3-4311-8f77-000164ee6eab_SiteId">
    <vt:lpwstr>fab7e728-037c-497d-9a94-644655015ab8</vt:lpwstr>
  </property>
  <property fmtid="{D5CDD505-2E9C-101B-9397-08002B2CF9AE}" pid="15" name="MSIP_Label_d9b4fdc8-09b3-4311-8f77-000164ee6eab_ActionId">
    <vt:lpwstr>7d443d84-6c35-43a4-a410-8cbf8a383d98</vt:lpwstr>
  </property>
  <property fmtid="{D5CDD505-2E9C-101B-9397-08002B2CF9AE}" pid="16" name="MSIP_Label_d9b4fdc8-09b3-4311-8f77-000164ee6eab_ContentBits">
    <vt:lpwstr>0</vt:lpwstr>
  </property>
  <property fmtid="{D5CDD505-2E9C-101B-9397-08002B2CF9AE}" pid="17" name="MSIP_Label_d9b4fdc8-09b3-4311-8f77-000164ee6eab_Tag">
    <vt:lpwstr>10, 3, 0, 1</vt:lpwstr>
  </property>
</Properties>
</file>